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348C" w14:textId="77777777" w:rsidR="00406B58" w:rsidRDefault="00000000">
      <w:pPr>
        <w:spacing w:after="0" w:line="259" w:lineRule="auto"/>
        <w:ind w:left="44" w:right="0" w:hanging="10"/>
        <w:jc w:val="left"/>
      </w:pPr>
      <w:r>
        <w:rPr>
          <w:i/>
          <w:sz w:val="22"/>
        </w:rPr>
        <w:t>Sped Journal of Computing and Science Education (SJCASE)</w:t>
      </w:r>
    </w:p>
    <w:p w14:paraId="73E1E13C" w14:textId="77777777" w:rsidR="00406B58" w:rsidRDefault="00000000">
      <w:pPr>
        <w:spacing w:after="0" w:line="259" w:lineRule="auto"/>
        <w:ind w:left="44" w:right="0" w:hanging="10"/>
        <w:jc w:val="left"/>
      </w:pPr>
      <w:r>
        <w:rPr>
          <w:i/>
          <w:sz w:val="22"/>
        </w:rPr>
        <w:t>Volume 1, Issue 1 (2023), 176 - 194</w:t>
      </w:r>
    </w:p>
    <w:p w14:paraId="3B8AADD0" w14:textId="77777777" w:rsidR="00406B58" w:rsidRDefault="00000000">
      <w:pPr>
        <w:spacing w:after="191" w:line="259" w:lineRule="auto"/>
        <w:ind w:left="31" w:right="0" w:firstLine="0"/>
        <w:jc w:val="left"/>
      </w:pPr>
      <w:r>
        <w:rPr>
          <w:rFonts w:ascii="Calibri" w:eastAsia="Calibri" w:hAnsi="Calibri" w:cs="Calibri"/>
          <w:noProof/>
          <w:color w:val="000000"/>
          <w:sz w:val="22"/>
        </w:rPr>
        <mc:AlternateContent>
          <mc:Choice Requires="wpg">
            <w:drawing>
              <wp:inline distT="0" distB="0" distL="0" distR="0" wp14:anchorId="1BE102F2" wp14:editId="223ABFC7">
                <wp:extent cx="5529824" cy="12697"/>
                <wp:effectExtent l="0" t="0" r="0" b="0"/>
                <wp:docPr id="30884" name="Group 30884"/>
                <wp:cNvGraphicFramePr/>
                <a:graphic xmlns:a="http://schemas.openxmlformats.org/drawingml/2006/main">
                  <a:graphicData uri="http://schemas.microsoft.com/office/word/2010/wordprocessingGroup">
                    <wpg:wgp>
                      <wpg:cNvGrpSpPr/>
                      <wpg:grpSpPr>
                        <a:xfrm>
                          <a:off x="0" y="0"/>
                          <a:ext cx="5529824" cy="12697"/>
                          <a:chOff x="0" y="0"/>
                          <a:chExt cx="5529824" cy="12697"/>
                        </a:xfrm>
                      </wpg:grpSpPr>
                      <wps:wsp>
                        <wps:cNvPr id="9" name="Shape 9"/>
                        <wps:cNvSpPr/>
                        <wps:spPr>
                          <a:xfrm>
                            <a:off x="0" y="0"/>
                            <a:ext cx="5529824" cy="0"/>
                          </a:xfrm>
                          <a:custGeom>
                            <a:avLst/>
                            <a:gdLst/>
                            <a:ahLst/>
                            <a:cxnLst/>
                            <a:rect l="0" t="0" r="0" b="0"/>
                            <a:pathLst>
                              <a:path w="5529824">
                                <a:moveTo>
                                  <a:pt x="0" y="0"/>
                                </a:moveTo>
                                <a:lnTo>
                                  <a:pt x="5529824"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884" style="width:435.419pt;height:0.9998pt;mso-position-horizontal-relative:char;mso-position-vertical-relative:line" coordsize="55298,126">
                <v:shape id="Shape 9" style="position:absolute;width:55298;height:0;left:0;top:0;" coordsize="5529824,0" path="m0,0l5529824,0">
                  <v:stroke weight="0.9998pt" endcap="flat" joinstyle="miter" miterlimit="2" on="true" color="#221f20"/>
                  <v:fill on="false" color="#000000" opacity="0"/>
                </v:shape>
              </v:group>
            </w:pict>
          </mc:Fallback>
        </mc:AlternateContent>
      </w:r>
    </w:p>
    <w:p w14:paraId="523AD782" w14:textId="77777777" w:rsidR="00406B58" w:rsidRDefault="00000000">
      <w:pPr>
        <w:pStyle w:val="Heading1"/>
      </w:pPr>
      <w:r>
        <w:t xml:space="preserve">The Effects of Knowledge, Attitude and Awareness of </w:t>
      </w:r>
    </w:p>
    <w:p w14:paraId="366A72FD" w14:textId="77777777" w:rsidR="00406B58" w:rsidRDefault="00000000">
      <w:pPr>
        <w:spacing w:after="202" w:line="229" w:lineRule="auto"/>
        <w:ind w:left="787" w:right="48" w:hanging="673"/>
        <w:jc w:val="left"/>
      </w:pPr>
      <w:r>
        <w:rPr>
          <w:b/>
          <w:sz w:val="32"/>
        </w:rPr>
        <w:t>Sexually Transmitted Diseases on the Academic Performance  of Students with Physical and Health Impairments</w:t>
      </w:r>
    </w:p>
    <w:p w14:paraId="2CCA28CE" w14:textId="77777777" w:rsidR="00406B58" w:rsidRDefault="00000000">
      <w:pPr>
        <w:spacing w:after="0" w:line="259" w:lineRule="auto"/>
        <w:ind w:left="10" w:right="11" w:hanging="10"/>
        <w:jc w:val="center"/>
      </w:pPr>
      <w:r>
        <w:rPr>
          <w:b/>
        </w:rPr>
        <w:t>Desola Dorcas, Akpan</w:t>
      </w:r>
    </w:p>
    <w:p w14:paraId="628C38F5" w14:textId="77777777" w:rsidR="00406B58" w:rsidRDefault="00000000">
      <w:pPr>
        <w:spacing w:after="0" w:line="259" w:lineRule="auto"/>
        <w:ind w:left="2137" w:right="0" w:hanging="10"/>
        <w:jc w:val="left"/>
      </w:pPr>
      <w:r>
        <w:rPr>
          <w:i/>
        </w:rPr>
        <w:t xml:space="preserve">Department of Physical and Health Education </w:t>
      </w:r>
    </w:p>
    <w:p w14:paraId="3871EBD7" w14:textId="77777777" w:rsidR="00406B58" w:rsidRDefault="00000000">
      <w:pPr>
        <w:spacing w:after="0" w:line="259" w:lineRule="auto"/>
        <w:ind w:left="1767" w:right="0" w:hanging="10"/>
        <w:jc w:val="left"/>
      </w:pPr>
      <w:r>
        <w:rPr>
          <w:i/>
        </w:rPr>
        <w:t>School of Secondary Education (Science Programme),</w:t>
      </w:r>
    </w:p>
    <w:p w14:paraId="057172F9" w14:textId="77777777" w:rsidR="00406B58" w:rsidRDefault="00000000">
      <w:pPr>
        <w:spacing w:after="263" w:line="229" w:lineRule="auto"/>
        <w:ind w:left="1885" w:right="1886" w:hanging="10"/>
        <w:jc w:val="center"/>
      </w:pPr>
      <w:r>
        <w:rPr>
          <w:i/>
        </w:rPr>
        <w:t xml:space="preserve"> Federal Colleges of Education (Special) Oyo Email: akpan.desola2342@fcesoyo.edu.ng</w:t>
      </w:r>
    </w:p>
    <w:p w14:paraId="6C546217" w14:textId="77777777" w:rsidR="00406B58" w:rsidRDefault="00000000">
      <w:pPr>
        <w:spacing w:after="0" w:line="259" w:lineRule="auto"/>
        <w:ind w:left="10" w:right="11" w:hanging="10"/>
        <w:jc w:val="center"/>
      </w:pPr>
      <w:r>
        <w:rPr>
          <w:b/>
        </w:rPr>
        <w:t>Olufunso Caroline, Dele-adisa</w:t>
      </w:r>
    </w:p>
    <w:p w14:paraId="7C440FED" w14:textId="77777777" w:rsidR="00406B58" w:rsidRDefault="00000000">
      <w:pPr>
        <w:spacing w:after="30" w:line="229" w:lineRule="auto"/>
        <w:ind w:left="1885" w:right="1886" w:hanging="10"/>
        <w:jc w:val="center"/>
      </w:pPr>
      <w:r>
        <w:rPr>
          <w:i/>
        </w:rPr>
        <w:t xml:space="preserve">Department of Science Education, </w:t>
      </w:r>
    </w:p>
    <w:p w14:paraId="5A23F5CD" w14:textId="77777777" w:rsidR="00406B58" w:rsidRDefault="00000000">
      <w:pPr>
        <w:spacing w:after="30" w:line="229" w:lineRule="auto"/>
        <w:ind w:left="1885" w:right="1886" w:hanging="10"/>
        <w:jc w:val="center"/>
      </w:pPr>
      <w:r>
        <w:rPr>
          <w:i/>
        </w:rPr>
        <w:t xml:space="preserve">School of General Studies Education, </w:t>
      </w:r>
    </w:p>
    <w:p w14:paraId="3099994F" w14:textId="77777777" w:rsidR="00406B58" w:rsidRDefault="00000000">
      <w:pPr>
        <w:spacing w:after="263" w:line="229" w:lineRule="auto"/>
        <w:ind w:left="1885" w:right="1886" w:hanging="10"/>
        <w:jc w:val="center"/>
      </w:pPr>
      <w:r>
        <w:rPr>
          <w:i/>
        </w:rPr>
        <w:t>Federal Colleges of Education (Special) Oyo Email: olufunsodeleadisa@gmail.com</w:t>
      </w:r>
    </w:p>
    <w:p w14:paraId="0F9B2B64" w14:textId="77777777" w:rsidR="00406B58" w:rsidRDefault="00000000">
      <w:pPr>
        <w:spacing w:after="0" w:line="259" w:lineRule="auto"/>
        <w:ind w:left="10" w:right="11" w:hanging="10"/>
        <w:jc w:val="center"/>
      </w:pPr>
      <w:r>
        <w:rPr>
          <w:b/>
        </w:rPr>
        <w:t>Abraham Jide, Oyeyinka</w:t>
      </w:r>
    </w:p>
    <w:p w14:paraId="4EDC5DF0" w14:textId="77777777" w:rsidR="00406B58" w:rsidRDefault="00000000">
      <w:pPr>
        <w:spacing w:after="0" w:line="259" w:lineRule="auto"/>
        <w:ind w:left="2137" w:right="0" w:hanging="10"/>
        <w:jc w:val="left"/>
      </w:pPr>
      <w:r>
        <w:rPr>
          <w:i/>
        </w:rPr>
        <w:t xml:space="preserve">Department of Physical and Health Education </w:t>
      </w:r>
    </w:p>
    <w:p w14:paraId="770CAC62" w14:textId="77777777" w:rsidR="00406B58" w:rsidRDefault="00000000">
      <w:pPr>
        <w:spacing w:after="0" w:line="259" w:lineRule="auto"/>
        <w:ind w:left="1767" w:right="0" w:hanging="10"/>
        <w:jc w:val="left"/>
      </w:pPr>
      <w:r>
        <w:rPr>
          <w:i/>
        </w:rPr>
        <w:t xml:space="preserve">School of Secondary Education (Science Programme), </w:t>
      </w:r>
    </w:p>
    <w:p w14:paraId="3C3E1088" w14:textId="77777777" w:rsidR="00406B58" w:rsidRDefault="00000000">
      <w:pPr>
        <w:spacing w:after="263" w:line="229" w:lineRule="auto"/>
        <w:ind w:left="1885" w:right="1886" w:hanging="10"/>
        <w:jc w:val="center"/>
      </w:pPr>
      <w:r>
        <w:rPr>
          <w:i/>
        </w:rPr>
        <w:t>Federal Colleges of Education (Special) Oyo Email: jideoyeyinka@gmail.com</w:t>
      </w:r>
    </w:p>
    <w:p w14:paraId="340CFEA9" w14:textId="77777777" w:rsidR="00406B58" w:rsidRDefault="00000000">
      <w:pPr>
        <w:spacing w:after="0" w:line="259" w:lineRule="auto"/>
        <w:ind w:left="10" w:right="11" w:hanging="10"/>
        <w:jc w:val="center"/>
      </w:pPr>
      <w:r>
        <w:rPr>
          <w:b/>
        </w:rPr>
        <w:t>Gideon Bukola, Ogundiran</w:t>
      </w:r>
    </w:p>
    <w:p w14:paraId="71925748" w14:textId="77777777" w:rsidR="00406B58" w:rsidRDefault="00000000">
      <w:pPr>
        <w:spacing w:after="0" w:line="259" w:lineRule="auto"/>
        <w:ind w:left="2137" w:right="0" w:hanging="10"/>
        <w:jc w:val="left"/>
      </w:pPr>
      <w:r>
        <w:rPr>
          <w:i/>
        </w:rPr>
        <w:t xml:space="preserve">Department of Physical and Health Education </w:t>
      </w:r>
    </w:p>
    <w:p w14:paraId="162B66B6" w14:textId="77777777" w:rsidR="00406B58" w:rsidRDefault="00000000">
      <w:pPr>
        <w:spacing w:after="0" w:line="259" w:lineRule="auto"/>
        <w:ind w:left="1767" w:right="0" w:hanging="10"/>
        <w:jc w:val="left"/>
      </w:pPr>
      <w:r>
        <w:rPr>
          <w:i/>
        </w:rPr>
        <w:t xml:space="preserve">School of Secondary Education (Science Programme), </w:t>
      </w:r>
    </w:p>
    <w:p w14:paraId="1A1009D8" w14:textId="77777777" w:rsidR="00406B58" w:rsidRDefault="00000000">
      <w:pPr>
        <w:spacing w:after="263" w:line="229" w:lineRule="auto"/>
        <w:ind w:left="1885" w:right="1886" w:hanging="10"/>
        <w:jc w:val="center"/>
      </w:pPr>
      <w:r>
        <w:rPr>
          <w:i/>
        </w:rPr>
        <w:t>Federal Colleges of Education (Special) Oyo Email: gidsportsbee@gmail.com</w:t>
      </w:r>
    </w:p>
    <w:p w14:paraId="74566002" w14:textId="77777777" w:rsidR="00406B58" w:rsidRDefault="00000000">
      <w:pPr>
        <w:spacing w:after="0" w:line="259" w:lineRule="auto"/>
        <w:ind w:left="10" w:right="11" w:hanging="10"/>
        <w:jc w:val="center"/>
      </w:pPr>
      <w:r>
        <w:rPr>
          <w:b/>
        </w:rPr>
        <w:t>Adewumi Esther, Oluokun</w:t>
      </w:r>
    </w:p>
    <w:p w14:paraId="30AE23F0" w14:textId="77777777" w:rsidR="00406B58" w:rsidRDefault="00000000">
      <w:pPr>
        <w:spacing w:after="0" w:line="259" w:lineRule="auto"/>
        <w:ind w:left="2137" w:right="0" w:hanging="10"/>
        <w:jc w:val="left"/>
      </w:pPr>
      <w:r>
        <w:rPr>
          <w:i/>
        </w:rPr>
        <w:t>Department of Physical and Health Education</w:t>
      </w:r>
    </w:p>
    <w:p w14:paraId="23A587BB" w14:textId="77777777" w:rsidR="00406B58" w:rsidRDefault="00000000">
      <w:pPr>
        <w:spacing w:after="0" w:line="259" w:lineRule="auto"/>
        <w:ind w:left="1737" w:right="0" w:hanging="10"/>
        <w:jc w:val="left"/>
      </w:pPr>
      <w:r>
        <w:rPr>
          <w:i/>
        </w:rPr>
        <w:t xml:space="preserve"> School of Secondary Education (Science Programme), </w:t>
      </w:r>
    </w:p>
    <w:p w14:paraId="2054C6BC" w14:textId="77777777" w:rsidR="00406B58" w:rsidRDefault="00000000">
      <w:pPr>
        <w:spacing w:after="263" w:line="229" w:lineRule="auto"/>
        <w:ind w:left="1885" w:right="1886" w:hanging="10"/>
        <w:jc w:val="center"/>
      </w:pPr>
      <w:r>
        <w:rPr>
          <w:i/>
        </w:rPr>
        <w:t>Federal Colleges of Education (Special) Oyo Email: oadewumi7@gmail.com</w:t>
      </w:r>
    </w:p>
    <w:p w14:paraId="6F58DDCE" w14:textId="77777777" w:rsidR="00406B58" w:rsidRDefault="00000000">
      <w:pPr>
        <w:spacing w:after="263" w:line="229" w:lineRule="auto"/>
        <w:ind w:left="1885" w:right="1886" w:hanging="10"/>
        <w:jc w:val="center"/>
      </w:pPr>
      <w:r>
        <w:rPr>
          <w:i/>
        </w:rPr>
        <w:t>&amp;</w:t>
      </w:r>
    </w:p>
    <w:p w14:paraId="3F421AED" w14:textId="77777777" w:rsidR="00406B58" w:rsidRDefault="00000000">
      <w:pPr>
        <w:spacing w:after="0" w:line="259" w:lineRule="auto"/>
        <w:ind w:left="10" w:right="11" w:hanging="10"/>
        <w:jc w:val="center"/>
      </w:pPr>
      <w:r>
        <w:rPr>
          <w:b/>
        </w:rPr>
        <w:t>Shuaibu, Haruna</w:t>
      </w:r>
    </w:p>
    <w:p w14:paraId="660FCFEF" w14:textId="77777777" w:rsidR="00406B58" w:rsidRDefault="00000000">
      <w:pPr>
        <w:spacing w:after="0" w:line="259" w:lineRule="auto"/>
        <w:ind w:left="2137" w:right="0" w:hanging="10"/>
        <w:jc w:val="left"/>
      </w:pPr>
      <w:r>
        <w:rPr>
          <w:i/>
        </w:rPr>
        <w:t xml:space="preserve">Department of Physical and Health Education </w:t>
      </w:r>
    </w:p>
    <w:p w14:paraId="07A8FBDD" w14:textId="77777777" w:rsidR="00406B58" w:rsidRDefault="00000000">
      <w:pPr>
        <w:spacing w:after="0" w:line="259" w:lineRule="auto"/>
        <w:ind w:left="1767" w:right="0" w:hanging="10"/>
        <w:jc w:val="left"/>
      </w:pPr>
      <w:r>
        <w:rPr>
          <w:i/>
        </w:rPr>
        <w:t xml:space="preserve">School of Secondary Education (Science Programme), </w:t>
      </w:r>
    </w:p>
    <w:p w14:paraId="78D3004F" w14:textId="77777777" w:rsidR="00406B58" w:rsidRDefault="00000000">
      <w:pPr>
        <w:spacing w:after="30" w:line="229" w:lineRule="auto"/>
        <w:ind w:left="1885" w:right="1886" w:hanging="10"/>
        <w:jc w:val="center"/>
      </w:pPr>
      <w:r>
        <w:rPr>
          <w:i/>
        </w:rPr>
        <w:t>Federal Colleges of Education (Special) Oyo</w:t>
      </w:r>
    </w:p>
    <w:p w14:paraId="51BFCB49" w14:textId="77777777" w:rsidR="00406B58" w:rsidRDefault="00000000">
      <w:pPr>
        <w:spacing w:after="263" w:line="229" w:lineRule="auto"/>
        <w:ind w:left="1885" w:right="1886" w:hanging="10"/>
        <w:jc w:val="center"/>
      </w:pPr>
      <w:r>
        <w:rPr>
          <w:i/>
        </w:rPr>
        <w:t>Email: hshuaibu27@gmail.com</w:t>
      </w:r>
    </w:p>
    <w:p w14:paraId="45E6A1A3" w14:textId="77777777" w:rsidR="00406B58" w:rsidRDefault="00000000">
      <w:pPr>
        <w:pStyle w:val="Heading2"/>
        <w:ind w:left="3" w:right="1"/>
      </w:pPr>
      <w:r>
        <w:lastRenderedPageBreak/>
        <w:t>Abstract</w:t>
      </w:r>
    </w:p>
    <w:p w14:paraId="3BD3B631" w14:textId="77777777" w:rsidR="00406B58" w:rsidRDefault="00000000">
      <w:pPr>
        <w:spacing w:after="0" w:line="229" w:lineRule="auto"/>
        <w:ind w:left="7" w:firstLine="0"/>
      </w:pPr>
      <w:r>
        <w:rPr>
          <w:i/>
          <w:sz w:val="20"/>
        </w:rPr>
        <w:t>This study investigates students with physical and health impairments' knowledge, attitudes, and awareness of sexually transmitted illnesses. It examined how much students with physical and health impairments knew, felt, and were aware of sexually transmitted illnesses using a poll of students. The study's findings show that students with physical and health disabilities have varying levels of knowledge, attitudes, and awareness regarding STDs; some have a thorough understanding, while others do not. Additionally, the study discovered that students with physical or health impairments were more likely than people without such impairments to be aware of and knowledgeable about STDs. Furthermore, the findings imply that students with physical and health impairments have generally positive opinions regarding STDs. There is a discussion of how these findings affect health education and awareness.</w:t>
      </w:r>
    </w:p>
    <w:p w14:paraId="440156AF" w14:textId="77777777" w:rsidR="00406B58" w:rsidRDefault="00000000">
      <w:pPr>
        <w:spacing w:after="156" w:line="259" w:lineRule="auto"/>
        <w:ind w:left="19" w:right="0" w:firstLine="0"/>
        <w:jc w:val="left"/>
      </w:pPr>
      <w:r>
        <w:rPr>
          <w:rFonts w:ascii="Calibri" w:eastAsia="Calibri" w:hAnsi="Calibri" w:cs="Calibri"/>
          <w:noProof/>
          <w:color w:val="000000"/>
          <w:sz w:val="22"/>
        </w:rPr>
        <mc:AlternateContent>
          <mc:Choice Requires="wpg">
            <w:drawing>
              <wp:inline distT="0" distB="0" distL="0" distR="0" wp14:anchorId="42DC022B" wp14:editId="0D4C1366">
                <wp:extent cx="5529823" cy="12697"/>
                <wp:effectExtent l="0" t="0" r="0" b="0"/>
                <wp:docPr id="30980" name="Group 30980"/>
                <wp:cNvGraphicFramePr/>
                <a:graphic xmlns:a="http://schemas.openxmlformats.org/drawingml/2006/main">
                  <a:graphicData uri="http://schemas.microsoft.com/office/word/2010/wordprocessingGroup">
                    <wpg:wgp>
                      <wpg:cNvGrpSpPr/>
                      <wpg:grpSpPr>
                        <a:xfrm>
                          <a:off x="0" y="0"/>
                          <a:ext cx="5529823" cy="12697"/>
                          <a:chOff x="0" y="0"/>
                          <a:chExt cx="5529823" cy="12697"/>
                        </a:xfrm>
                      </wpg:grpSpPr>
                      <wps:wsp>
                        <wps:cNvPr id="132" name="Shape 132"/>
                        <wps:cNvSpPr/>
                        <wps:spPr>
                          <a:xfrm>
                            <a:off x="0" y="0"/>
                            <a:ext cx="5529823" cy="0"/>
                          </a:xfrm>
                          <a:custGeom>
                            <a:avLst/>
                            <a:gdLst/>
                            <a:ahLst/>
                            <a:cxnLst/>
                            <a:rect l="0" t="0" r="0" b="0"/>
                            <a:pathLst>
                              <a:path w="5529823">
                                <a:moveTo>
                                  <a:pt x="0" y="0"/>
                                </a:moveTo>
                                <a:lnTo>
                                  <a:pt x="5529823"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80" style="width:435.419pt;height:0.9998pt;mso-position-horizontal-relative:char;mso-position-vertical-relative:line" coordsize="55298,126">
                <v:shape id="Shape 132" style="position:absolute;width:55298;height:0;left:0;top:0;" coordsize="5529823,0" path="m0,0l5529823,0">
                  <v:stroke weight="0.9998pt" endcap="flat" joinstyle="miter" miterlimit="2" on="true" color="#221f20"/>
                  <v:fill on="false" color="#000000" opacity="0"/>
                </v:shape>
              </v:group>
            </w:pict>
          </mc:Fallback>
        </mc:AlternateContent>
      </w:r>
    </w:p>
    <w:p w14:paraId="02674C19" w14:textId="77777777" w:rsidR="00406B58" w:rsidRDefault="00000000">
      <w:pPr>
        <w:spacing w:after="0" w:line="259" w:lineRule="auto"/>
        <w:ind w:left="7" w:right="0" w:firstLine="0"/>
        <w:jc w:val="left"/>
      </w:pPr>
      <w:r>
        <w:rPr>
          <w:b/>
          <w:sz w:val="22"/>
        </w:rPr>
        <w:t xml:space="preserve">Keywords: </w:t>
      </w:r>
      <w:r>
        <w:rPr>
          <w:sz w:val="22"/>
        </w:rPr>
        <w:t xml:space="preserve"> Knowledge, Attitude, Sexually Transmitted Diseases, Physical and Health Impairment</w:t>
      </w:r>
    </w:p>
    <w:p w14:paraId="4FDF0A5C" w14:textId="77777777" w:rsidR="00406B58" w:rsidRDefault="00000000">
      <w:pPr>
        <w:spacing w:after="700" w:line="259" w:lineRule="auto"/>
        <w:ind w:left="19" w:right="0" w:firstLine="0"/>
        <w:jc w:val="left"/>
      </w:pPr>
      <w:r>
        <w:rPr>
          <w:rFonts w:ascii="Calibri" w:eastAsia="Calibri" w:hAnsi="Calibri" w:cs="Calibri"/>
          <w:noProof/>
          <w:color w:val="000000"/>
          <w:sz w:val="22"/>
        </w:rPr>
        <mc:AlternateContent>
          <mc:Choice Requires="wpg">
            <w:drawing>
              <wp:inline distT="0" distB="0" distL="0" distR="0" wp14:anchorId="3A90F97C" wp14:editId="66BFE42F">
                <wp:extent cx="5529823" cy="12697"/>
                <wp:effectExtent l="0" t="0" r="0" b="0"/>
                <wp:docPr id="30981" name="Group 30981"/>
                <wp:cNvGraphicFramePr/>
                <a:graphic xmlns:a="http://schemas.openxmlformats.org/drawingml/2006/main">
                  <a:graphicData uri="http://schemas.microsoft.com/office/word/2010/wordprocessingGroup">
                    <wpg:wgp>
                      <wpg:cNvGrpSpPr/>
                      <wpg:grpSpPr>
                        <a:xfrm>
                          <a:off x="0" y="0"/>
                          <a:ext cx="5529823" cy="12697"/>
                          <a:chOff x="0" y="0"/>
                          <a:chExt cx="5529823" cy="12697"/>
                        </a:xfrm>
                      </wpg:grpSpPr>
                      <wps:wsp>
                        <wps:cNvPr id="133" name="Shape 133"/>
                        <wps:cNvSpPr/>
                        <wps:spPr>
                          <a:xfrm>
                            <a:off x="0" y="0"/>
                            <a:ext cx="5529823" cy="0"/>
                          </a:xfrm>
                          <a:custGeom>
                            <a:avLst/>
                            <a:gdLst/>
                            <a:ahLst/>
                            <a:cxnLst/>
                            <a:rect l="0" t="0" r="0" b="0"/>
                            <a:pathLst>
                              <a:path w="5529823">
                                <a:moveTo>
                                  <a:pt x="0" y="0"/>
                                </a:moveTo>
                                <a:lnTo>
                                  <a:pt x="5529823"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81" style="width:435.419pt;height:0.9998pt;mso-position-horizontal-relative:char;mso-position-vertical-relative:line" coordsize="55298,126">
                <v:shape id="Shape 133" style="position:absolute;width:55298;height:0;left:0;top:0;" coordsize="5529823,0" path="m0,0l5529823,0">
                  <v:stroke weight="0.9998pt" endcap="flat" joinstyle="miter" miterlimit="2" on="true" color="#221f20"/>
                  <v:fill on="false" color="#000000" opacity="0"/>
                </v:shape>
              </v:group>
            </w:pict>
          </mc:Fallback>
        </mc:AlternateContent>
      </w:r>
    </w:p>
    <w:p w14:paraId="3A9D5CDE" w14:textId="77777777" w:rsidR="00406B58" w:rsidRDefault="00000000">
      <w:pPr>
        <w:spacing w:after="102" w:line="259" w:lineRule="auto"/>
        <w:ind w:left="19" w:right="0" w:firstLine="0"/>
        <w:jc w:val="left"/>
      </w:pPr>
      <w:r>
        <w:rPr>
          <w:rFonts w:ascii="Calibri" w:eastAsia="Calibri" w:hAnsi="Calibri" w:cs="Calibri"/>
          <w:noProof/>
          <w:color w:val="000000"/>
          <w:sz w:val="22"/>
        </w:rPr>
        <mc:AlternateContent>
          <mc:Choice Requires="wpg">
            <w:drawing>
              <wp:inline distT="0" distB="0" distL="0" distR="0" wp14:anchorId="6AA1CC9E" wp14:editId="5C33B8AA">
                <wp:extent cx="5529823" cy="12697"/>
                <wp:effectExtent l="0" t="0" r="0" b="0"/>
                <wp:docPr id="30982" name="Group 30982"/>
                <wp:cNvGraphicFramePr/>
                <a:graphic xmlns:a="http://schemas.openxmlformats.org/drawingml/2006/main">
                  <a:graphicData uri="http://schemas.microsoft.com/office/word/2010/wordprocessingGroup">
                    <wpg:wgp>
                      <wpg:cNvGrpSpPr/>
                      <wpg:grpSpPr>
                        <a:xfrm>
                          <a:off x="0" y="0"/>
                          <a:ext cx="5529823" cy="12697"/>
                          <a:chOff x="0" y="0"/>
                          <a:chExt cx="5529823" cy="12697"/>
                        </a:xfrm>
                      </wpg:grpSpPr>
                      <wps:wsp>
                        <wps:cNvPr id="134" name="Shape 134"/>
                        <wps:cNvSpPr/>
                        <wps:spPr>
                          <a:xfrm>
                            <a:off x="0" y="0"/>
                            <a:ext cx="5529823" cy="0"/>
                          </a:xfrm>
                          <a:custGeom>
                            <a:avLst/>
                            <a:gdLst/>
                            <a:ahLst/>
                            <a:cxnLst/>
                            <a:rect l="0" t="0" r="0" b="0"/>
                            <a:pathLst>
                              <a:path w="5529823">
                                <a:moveTo>
                                  <a:pt x="0" y="0"/>
                                </a:moveTo>
                                <a:lnTo>
                                  <a:pt x="5529823"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82" style="width:435.419pt;height:0.9998pt;mso-position-horizontal-relative:char;mso-position-vertical-relative:line" coordsize="55298,126">
                <v:shape id="Shape 134" style="position:absolute;width:55298;height:0;left:0;top:0;" coordsize="5529823,0" path="m0,0l5529823,0">
                  <v:stroke weight="0.9998pt" endcap="flat" joinstyle="miter" miterlimit="2" on="true" color="#221f20"/>
                  <v:fill on="false" color="#000000" opacity="0"/>
                </v:shape>
              </v:group>
            </w:pict>
          </mc:Fallback>
        </mc:AlternateContent>
      </w:r>
    </w:p>
    <w:p w14:paraId="42007B47" w14:textId="77777777" w:rsidR="00406B58" w:rsidRDefault="00000000">
      <w:pPr>
        <w:pStyle w:val="Heading2"/>
        <w:ind w:left="3" w:right="1"/>
      </w:pPr>
      <w:r>
        <w:t xml:space="preserve">Introduction </w:t>
      </w:r>
    </w:p>
    <w:p w14:paraId="27862956" w14:textId="77777777" w:rsidR="00406B58" w:rsidRDefault="00000000">
      <w:pPr>
        <w:spacing w:after="278"/>
        <w:ind w:left="-1" w:right="7"/>
      </w:pPr>
      <w:r>
        <w:t>Sexually transmitted infections can spread through any type of sexual interaction. Sexually transmitted diseases  (STDs) are illnesses and infections that are primarily transmitted through sexual interaction. Certain conditions, such as gonorrhoea, syphilis, and chlamydia, are curable, while others, such as hepatitis B, herpes simplex, HPV, and HIV/AIDS, cannot be treated but can be controlled (Nsuam, Sanders and Taylor, 2010). Sexually transmitted infections (STIs) are another name for sexually transmitted diseases (STDs), which are diseases that are contracted through sexual activity and are caused by the transmission of a disease-causing organism from one person to another. It's critical to understand that sexual contact encompasses more than just anal and vaginal intercourse. Sexual touch includes kissing, oral-genital contact, and the use of sexual "toys" like vibrators. Although there have likely been sexually transmitted infections for thousands of years, the most serious one, known as HIV, has only been identified since 1984. (Melisa, 2019)..</w:t>
      </w:r>
    </w:p>
    <w:p w14:paraId="60EC9A36" w14:textId="77777777" w:rsidR="00406B58" w:rsidRDefault="00000000">
      <w:pPr>
        <w:spacing w:after="278"/>
        <w:ind w:left="-1" w:right="7"/>
      </w:pPr>
      <w:r>
        <w:t>Young people are most at risk, especially those in the 15–24 age range. According to the World Health Organization, one in twenty teenagers may contract a sexually transmitted infection (STI) each year, and twenty percent of those living with HIV/AIDS are in their twenties (Olabode, 2009). Experience, knowledge, and insight are the things that separate one from being aware of something. Although knowledge and awareness are important components of sex education, their ability to change attitudes and behaviour has been found to be limited. Despite this, they do support and teach healthy choices. Sex education should be a part of the regular curriculum in Nigeria, where students must attend school until they are at least 15 years old. This will help students understand the risks associated with sexual behaviour and how to prevent them. The study's findings can help identify areas where adolescents who attend school need to receive better education about the risks associated with sexually transmitted diseases, given the declining age at which people first experience sexual activity and the reportedly rising number of cases that are diagnosed in this age group.</w:t>
      </w:r>
    </w:p>
    <w:p w14:paraId="6FE4FEE1" w14:textId="77777777" w:rsidR="00406B58" w:rsidRDefault="00000000">
      <w:pPr>
        <w:spacing w:after="278"/>
        <w:ind w:left="-1" w:right="7"/>
      </w:pPr>
      <w:r>
        <w:t xml:space="preserve">Physical and mental limits that make it difficult to go to school and perform other daily chores are examples of disabilities. Physical restrictions can result from diseases, injuries, or other causes. They can also be brought on by congenital defects. A disease or a chronic illness are two instances of health restrictions (Sanni, 2012). The public's apathy for the </w:t>
      </w:r>
      <w:r>
        <w:lastRenderedPageBreak/>
        <w:t>sexual behaviour of secondary school (SS) students has been largely due to the existence of a workable and widely acknowledged remedy to the issue. Young people today are less likely to be hindered by concerns about social stigma, STDs, and unwanted pregnancies because of advancements in medicine and related professions. Additionally, parents can move for better employment and leisure opportunities due to the large range of occupations that are available today. Consequently, this made it harder for the teenagers' family and community to watch after them (Mauritius Research Council, 2006).</w:t>
      </w:r>
    </w:p>
    <w:p w14:paraId="3F12E1D8" w14:textId="77777777" w:rsidR="00406B58" w:rsidRDefault="00000000">
      <w:pPr>
        <w:spacing w:after="278"/>
        <w:ind w:left="-1" w:right="7"/>
      </w:pPr>
      <w:r>
        <w:t>Adolescents who experiment with sexuality later in life not only risk social rejection but also serious health risks. These include the use of dubious birth control methods, prostitution, abortion by quacks, exposure to venereal illnesses and its medical repercussions as a result of insufficient and delayed treatment, and the early termination of schooling, which increased societal obligations (Warriner, 2006). One way that these sex-related issues are being openly and constructively addressed is by teaching kids about venereal disease around the time they hit puberty. This kind of material ought to be accompanied by advice on the value of exercising restraint and should highlight romanticised notions of a man and woman's partnership. Adequate comprehension and sex education will address teenage pregnancies in Nigeria (United Nations Children's Fund, UNICEF, 2006).</w:t>
      </w:r>
    </w:p>
    <w:p w14:paraId="526EE8B8" w14:textId="77777777" w:rsidR="00406B58" w:rsidRDefault="00000000">
      <w:pPr>
        <w:spacing w:after="278"/>
        <w:ind w:left="-1" w:right="7"/>
      </w:pPr>
      <w:r>
        <w:t>Students in Nigerian secondary schools now are significantly younger than they were a decade ago. This is a result of the shift in Nigerian education, where parents are now more conscious of the need to start their children in school at a younger age. They mature far faster than their classmates, while being smaller. Better food, a higher quality of living, and improved healthcare were the causes of this. It's critical to learn a great deal about teens, particularly their sexual beliefs, in order to assist them in adjusting to the sexual demands of society. (The Nigerian Girls' Education, 2014). Samkange, Spallek, Zeeb et al. (2011) state that sexually transmitted infections (STDs) affect a disproportionate number of young people and are a severe health concern in both wealthy and developing countries. There is a general dearth of knowledge and awareness of STDs, except for HIV/AIDS. Although some evidence on condom usage suggests that knowledge does not always translate into behaviour change, sexual education for teenagers is essential for the prevention of STDs, and the school setting plays a significant role in this regard.</w:t>
      </w:r>
    </w:p>
    <w:p w14:paraId="03E2BF1A" w14:textId="77777777" w:rsidR="00406B58" w:rsidRDefault="00000000">
      <w:pPr>
        <w:spacing w:after="278"/>
        <w:ind w:left="-1" w:right="7"/>
      </w:pPr>
      <w:r>
        <w:t>Even though knowledge and awareness have little effect on changing attitude and behaviour, they are essential components of sex education since they promote making informed, healthy decisions. Sex education, which is currently usually required up until the age of 15, should include a detailed discussion of the health hazards associated with sexual behaviour as well as how to avoid oneself and others. In view of the age at which adolescents have their first sexual experience lowering and the reported rise in the frequency of STD diagnoses among young people, the study's findings may help improve efforts to improve sexually transmitted disease (STD) risk communication for school-aged adolescents. People with impairments frequently have limited mobility. This often makes it more difficult for them to broaden their perspectives through attending conferences, seminars, and workshops.</w:t>
      </w:r>
    </w:p>
    <w:p w14:paraId="2CC9FD45" w14:textId="77777777" w:rsidR="00406B58" w:rsidRDefault="00000000">
      <w:pPr>
        <w:ind w:left="-1" w:right="7"/>
      </w:pPr>
      <w:r>
        <w:t xml:space="preserve">Every child's mental health and academic achievement are inextricably intertwined. This is so that all the knowledge that a child absorbs during the school day can be "processor" by means of his or her cognitive abilities. According to Raheem (2015), for students to apply </w:t>
      </w:r>
      <w:r>
        <w:lastRenderedPageBreak/>
        <w:t xml:space="preserve">what they learn in the classroom in an effective manner, they need to develop the following three skills. </w:t>
      </w:r>
    </w:p>
    <w:p w14:paraId="5C061C14" w14:textId="77777777" w:rsidR="00406B58" w:rsidRDefault="00000000">
      <w:pPr>
        <w:spacing w:after="278"/>
        <w:ind w:left="-1" w:right="7"/>
      </w:pPr>
      <w:r>
        <w:t>This calls for three different kinds of talents: the capacity for taking in information, processing information, and producing new content. Children need receptive skills like reading and listening to process new information. Cognitive skills are what allow students to reason and make sense of the world around them. The key to a student's productivity is their capacity to apply their receptive and cognitive skills to explain the content they have learned. Rector and Johnson (2005) found that most students who engage in sexual activity perform poorly academically and face a number of obstacles that make it difficult for them to concentrate on their studies. It is well acknowledged that students' sexual interactions negatively affect their academic welfare, as seen by their poor academic performance. This presumption is supported by the theory that people who engage in sexual behaviour could become so engrossed in it that they lose focus on their scholastic goals.</w:t>
      </w:r>
    </w:p>
    <w:p w14:paraId="71700733" w14:textId="77777777" w:rsidR="00406B58" w:rsidRDefault="00000000">
      <w:pPr>
        <w:spacing w:after="278"/>
        <w:ind w:left="-1" w:right="7"/>
      </w:pPr>
      <w:r>
        <w:t>Additionally, a number of problems pertaining to students' sexual interactions were identified, including psychological concerns and guilt feelings, both of which are a result of the way schools handle these relationships. This is because student relationships are inherently fragile and have a finite lifespan, claim Rector and Johnson (2005). This suggests that the student will probably go through emotional turmoil and unhappiness if the connection fails. A student's academic chances are likely to suffer if they are emotionally troubled or depressed. This could lead to a decline in their academic performance or the total loss of the ability to pursue an education. In high school, teenagers who abstain from sexual activity have a significantly decreased chance of being expelled, dropping out, and going and graduating from college (Mylakado &amp; Thimoty, 2014).</w:t>
      </w:r>
    </w:p>
    <w:p w14:paraId="71D12ADB" w14:textId="77777777" w:rsidR="00406B58" w:rsidRDefault="00000000">
      <w:pPr>
        <w:spacing w:after="278"/>
        <w:ind w:left="-1" w:right="7"/>
      </w:pPr>
      <w:r>
        <w:t>It was discovered that students are involved in risky sexual encounters that put them at risk for STDs like HIV or result in unplanned premarital pregnancies (Mlyakado, 2013). Not only that, but students' ability to function properly in their academic studies is also harmed by their sexual interactions. Depending on the neighbourhood or school's location, certain individuals, including teachers, may sexually abuse children in these settings. Academic achievements are impacted by these, either directly or indirectly. Rector and Johnson (2005) found that there is a link between early onset of sexual activity and low academic performance. Additionally, Schvaneveldt (2001) discovered a link between early onset of sexual activity and subpar scholastic achievement. It is said that the drive for academic achievement is likely to decrease when more time and energy are devoted to sexual activities.</w:t>
      </w:r>
    </w:p>
    <w:p w14:paraId="0066132A" w14:textId="77777777" w:rsidR="00406B58" w:rsidRDefault="00000000">
      <w:pPr>
        <w:pStyle w:val="Heading2"/>
        <w:ind w:left="3" w:right="1"/>
      </w:pPr>
      <w:r>
        <w:t>Statement of the problem</w:t>
      </w:r>
    </w:p>
    <w:p w14:paraId="66F9F29F" w14:textId="77777777" w:rsidR="00406B58" w:rsidRDefault="00000000">
      <w:pPr>
        <w:spacing w:after="278"/>
        <w:ind w:left="-1" w:right="7"/>
      </w:pPr>
      <w:r>
        <w:t xml:space="preserve">Students gave a range of justifications for their involvement in romantic relationships. These explanations fall into four categories: receiving advantages in the form of material products or favours from peers in exchange for sex; satisfying one's own sexual impulses within one's own body; conforming to social standards (peer pressure); and students' socioeconomic level (poverty). Secondary school students continue to have sex despite the fact that addressing students' sexual interactions in schools can lead to a number of problems, including psychiatric disorders and feelings of shame. This is the case even though the incidence of teenage premarital sex is getting intolerably high. Whether or not the participants are aware of the sexually transmitted diseases that are associated with it is the question that keeps coming back to the researcher. The ironic circumstances worsen when </w:t>
      </w:r>
      <w:r>
        <w:lastRenderedPageBreak/>
        <w:t>rumours circulate that certain educators are helping these pupils become morally tainted. The fact that premarital sex victims include students with learning disabilities makes the situation worse. The state of this decadence persists even if sex education is currently one of the subjects taught in schools. The researcher believes that although while sexually transmitted diseases are widely known in Nigeria, teenagers are still not receiving the education and awareness that they need. The researchers become concerned about this and thus came up with the topic: Compared to their counterparts in the mainstream, some high school students with impairments have a better grasp of STDs.</w:t>
      </w:r>
    </w:p>
    <w:p w14:paraId="1DDD98BB" w14:textId="77777777" w:rsidR="00406B58" w:rsidRDefault="00000000">
      <w:pPr>
        <w:pStyle w:val="Heading2"/>
        <w:ind w:left="3" w:right="1"/>
      </w:pPr>
      <w:r>
        <w:t>Purpose of the Study</w:t>
      </w:r>
    </w:p>
    <w:p w14:paraId="5938ED10" w14:textId="77777777" w:rsidR="00406B58" w:rsidRDefault="00000000">
      <w:pPr>
        <w:spacing w:after="278"/>
        <w:ind w:left="-1" w:right="7"/>
      </w:pPr>
      <w:r>
        <w:t>The purpose of this study is to find out how much information students with physical and health impairments in a selected secondary school in the Oyo West Local Government of Oyo State know about sexually transmitted diseases (STDs). Through concentrating on this student population, the study aims to examine their knowledge of sexually transmitted infections (STDs), their awareness of preventive strategies, and their general understanding of the hazards and repercussions connected to these illnesses. The study hopes to pinpoint any possible knowledge and awareness gaps, offering insightful information that will help shape educational initiatives and support networks for this susceptible group. The study also aims to ascertain how sexual activity affects secondary school students' academic achievement. It also aims to ascertain the degree of knowledge on STDs (sexually transmitted infections) among students who have physical and health impairments.</w:t>
      </w:r>
    </w:p>
    <w:p w14:paraId="77EB6250" w14:textId="77777777" w:rsidR="00406B58" w:rsidRDefault="00000000">
      <w:pPr>
        <w:pStyle w:val="Heading2"/>
        <w:ind w:left="3" w:right="1"/>
      </w:pPr>
      <w:r>
        <w:t xml:space="preserve">Research Questions </w:t>
      </w:r>
    </w:p>
    <w:p w14:paraId="1C279FA9" w14:textId="77777777" w:rsidR="00406B58" w:rsidRDefault="00000000">
      <w:pPr>
        <w:numPr>
          <w:ilvl w:val="0"/>
          <w:numId w:val="1"/>
        </w:numPr>
        <w:spacing w:after="135"/>
        <w:ind w:right="7" w:hanging="445"/>
      </w:pPr>
      <w:r>
        <w:t>To what extent does the knowledge and awareness of Sexually Transmitted Diseases  motivate the interest of students with physical and health impairments towards their  attitude to sex?</w:t>
      </w:r>
    </w:p>
    <w:p w14:paraId="3724CEF7" w14:textId="77777777" w:rsidR="00406B58" w:rsidRDefault="00000000">
      <w:pPr>
        <w:numPr>
          <w:ilvl w:val="0"/>
          <w:numId w:val="1"/>
        </w:numPr>
        <w:ind w:right="7" w:hanging="445"/>
      </w:pPr>
      <w:r>
        <w:t>What are the attitudes of students with physical and health impairments towards teaching  Sexually Transmitted Diseases in classrooms?</w:t>
      </w:r>
    </w:p>
    <w:p w14:paraId="1A24B8E4" w14:textId="77777777" w:rsidR="00406B58" w:rsidRDefault="00000000">
      <w:pPr>
        <w:numPr>
          <w:ilvl w:val="0"/>
          <w:numId w:val="1"/>
        </w:numPr>
        <w:spacing w:after="278"/>
        <w:ind w:right="7" w:hanging="445"/>
      </w:pPr>
      <w:r>
        <w:t>Does sexually transmitted disease/infection have a detrimental impact on the academic  achievement of kids who have physical and mental disabilities?</w:t>
      </w:r>
    </w:p>
    <w:p w14:paraId="0DD5D088" w14:textId="77777777" w:rsidR="00406B58" w:rsidRDefault="00000000">
      <w:pPr>
        <w:pStyle w:val="Heading2"/>
        <w:ind w:left="3" w:right="1"/>
      </w:pPr>
      <w:r>
        <w:t>Concept of Sexually Transmitted Diseases (STDs)</w:t>
      </w:r>
    </w:p>
    <w:p w14:paraId="5EADB2BE" w14:textId="77777777" w:rsidR="00406B58" w:rsidRDefault="00000000">
      <w:pPr>
        <w:spacing w:after="278"/>
        <w:ind w:left="-1" w:right="7"/>
      </w:pPr>
      <w:r>
        <w:t>STDs are illnesses that transfer from person to person via sexual activity, which may include anal, vaginal, or oral intercourse. HIV is classified as an STD. Other Sexually Transmitted Diseases include Chlamydia, gonorrhoea, human papillomavirus (HPV) infection, and syphilis. Having an STD makes it simpler to get HIV. An STD, for example, might produce a sore or a breach in the skin, making it easier for HIV to enter the body. HIV infection combined with another STD may enhance the risk of HIV transmission. (Mlyakado, 2014). Mlyakado (2014) added that STIs and STDs are the same. Sexual interaction causes them. Blood, semen, and vaginal secretions may spread sexually transmitted illnesses. Blood transfusions, sharing needles, and mother-to-child transmission may spread these illnesses. Sexually transmitted illnesses may be spread by healthy persons who don't know they're infected. Because sexually transmitted illnesses don't often produce symptoms, doctors prefer "sexually transmitted infections" over "sexually transmitted diseases.”</w:t>
      </w:r>
    </w:p>
    <w:p w14:paraId="48AF0BD9" w14:textId="77777777" w:rsidR="00406B58" w:rsidRDefault="00000000">
      <w:pPr>
        <w:spacing w:after="278"/>
        <w:ind w:left="-1" w:right="7"/>
      </w:pPr>
      <w:r>
        <w:t xml:space="preserve">Mlyakado (2014) emphasized that STIs might have no symptoms. They may go unreported until difficulties or a partner's diagnosis. Sexually transmitted infection symptoms include </w:t>
      </w:r>
      <w:r>
        <w:lastRenderedPageBreak/>
        <w:t>sores or pimples on the genitals, oral, or rectal areas, Painful or scorching urination, Penis discharge, Unusual or odd-smelling vaginal discharge, vaginal haemorrhage, Lower stomach discomfort, and Fever. Depending on the organism, symptoms may emerge days or years after exposure.</w:t>
      </w:r>
    </w:p>
    <w:p w14:paraId="7E666217" w14:textId="77777777" w:rsidR="00406B58" w:rsidRDefault="00000000">
      <w:pPr>
        <w:spacing w:after="278"/>
        <w:ind w:left="-1" w:right="7"/>
      </w:pPr>
      <w:r>
        <w:t>Mlyakado (2014) said that the WHO estimates that over 1 million new sexually transmitted diseases are acquired daily. Half of all new STDs are acquired by 15–24-year-olds, and 1 in 4 sexually active teenage girls have one. Senior STD rates are rising. Most Sexually Transmitted Diseases are symptomless and may spread unknowingly through unprotected sexual contact. Pelvic inflammatory illnesses may cause ectopic pregnancies and infertility. Since their partners are older, female adolescents are more likely to develop an STD than male adolescents (Rector and Johnson, 2005). Rector and Johnson (2005) suggested that the rise in sexually transmitted diseases may be linked to the decreasing age of first sexual contact. Over the previous three decades, the average age of first sexual intercourse has reduced in European nations, with more teenagers reporting sexual engagement before 16. Early sexual engagement raises the likelihood of several sexual partners and STDs. Female teenagers are more susceptible to sexually transmitted infections due to insufficient cervical anatomic development.</w:t>
      </w:r>
    </w:p>
    <w:p w14:paraId="38CDF987" w14:textId="77777777" w:rsidR="00406B58" w:rsidRDefault="00000000">
      <w:pPr>
        <w:pStyle w:val="Heading2"/>
        <w:ind w:left="3" w:right="1"/>
      </w:pPr>
      <w:r>
        <w:t>Physical and Health Impairment</w:t>
      </w:r>
    </w:p>
    <w:p w14:paraId="50EA7C8B" w14:textId="77777777" w:rsidR="00406B58" w:rsidRDefault="00000000">
      <w:pPr>
        <w:spacing w:after="278"/>
        <w:ind w:left="-1" w:right="7"/>
      </w:pPr>
      <w:r>
        <w:t xml:space="preserve">Physical and mental impairments are both considered disabilities when they impede education and other aspects of daily life. The causes of physical impairments include congenital abnormalities, diseases, and other causes. Included among health impairments are disease and/or chronic illness. According to the IDEA (2004) Individuals with Disabilities Education Act of the United States Department of Education, a physical and health impairment is classified as an "orthopaedic hindrance" and is defined as a severe orthopaedic impairment that negatively impacts a child's educational performance. The term comprises impairments caused by congenital anomalies, diseases (such as poliomyelitis and bone tuberculosis), and other causes (such as cerebral palsy, amputations, and fractures or injuries that produce contractures). </w:t>
      </w:r>
    </w:p>
    <w:p w14:paraId="4EB8CBCB" w14:textId="77777777" w:rsidR="00406B58" w:rsidRDefault="00000000">
      <w:pPr>
        <w:spacing w:after="278"/>
        <w:ind w:left="-1" w:right="7"/>
      </w:pPr>
      <w:r>
        <w:t>According to Mettah &amp; Kauffman (2005), physical and health impairments are physical limitations or health issues that impede school attendance or learning to the extent that special services, training, equipment, materials, or facilities are required. At the beginning of the twentyfirst century, approximately 500,000 schoolchildren in the United States were identified as having physical or health impairments for special education. Since 1975 (under the Education for All Handicapped Children Act and since 1990, the Individuals with Disabilities Education Act [IDEA]), federal law has mandated special education and related services for everyone in the class with physical disabilities that interfere with their education. Neurological conditions, musculoskeletal conditions, and other health impairments are major classifications.</w:t>
      </w:r>
    </w:p>
    <w:p w14:paraId="226F08C9" w14:textId="77777777" w:rsidR="00406B58" w:rsidRDefault="00000000">
      <w:pPr>
        <w:pStyle w:val="Heading2"/>
        <w:ind w:left="3" w:right="1"/>
      </w:pPr>
      <w:r>
        <w:t>Academic Performance</w:t>
      </w:r>
    </w:p>
    <w:p w14:paraId="18B0B8ED" w14:textId="77777777" w:rsidR="00406B58" w:rsidRDefault="00000000">
      <w:pPr>
        <w:ind w:left="-1" w:right="7"/>
      </w:pPr>
      <w:r>
        <w:t xml:space="preserve">Academic performance is the level of a student's success in their academics and duties (Hedges, 2009). Grades, which represent a student's success in each subject and across their whole term, are the most well-known metric of academic performance. Academic achievement is the primary metric of success in most educational institutions. In this situation, a student's success or performance is determined by how successfully they satisfy </w:t>
      </w:r>
      <w:r>
        <w:lastRenderedPageBreak/>
        <w:t>the requirements set by the institution, as well as any external examination bodies established by the government or independent organisations (Ulloa, 2010). According to Adeyemi (2008), performance is a gauge of educational output.</w:t>
      </w:r>
    </w:p>
    <w:p w14:paraId="4EB30E86" w14:textId="77777777" w:rsidR="00406B58" w:rsidRDefault="00000000">
      <w:pPr>
        <w:spacing w:after="278"/>
        <w:ind w:left="-1" w:right="7"/>
      </w:pPr>
      <w:r>
        <w:t>Academic performance may be considered as the degree to which each student acts or completes a task, as well as how successfully or poorly he or she completes the duties or tasks included in the learning process. Okediran (2012) claims that before standardisation, the majority of the assessments consisted of teacher observations. Grading systems that were developed in the late Victorian era were quite subjective since some professors placed a higher priority on certain areas of learning than others. However, the standardisation role, which is performed by organisations outside of schools, significantly assisted in keeping this in control (Pedro, 2011).</w:t>
      </w:r>
    </w:p>
    <w:p w14:paraId="46410DE2" w14:textId="77777777" w:rsidR="00406B58" w:rsidRDefault="00000000">
      <w:pPr>
        <w:spacing w:after="278"/>
        <w:ind w:left="-1" w:right="7"/>
      </w:pPr>
      <w:r>
        <w:t>Academic performance, according to Randy (2010), refers to a student's achievement in achieving short- or long-term educational objectives. Academic success in the broad sense refers to graduating high school or obtaining a college degree. A person's outstanding achievement in a particular academic field may also be referred to as their academic performance (Orton, 2008). A young person who excels academically in science receives honours or high marks.</w:t>
      </w:r>
    </w:p>
    <w:p w14:paraId="48BE83D3" w14:textId="77777777" w:rsidR="00406B58" w:rsidRDefault="00000000">
      <w:pPr>
        <w:spacing w:after="278"/>
        <w:ind w:left="-1" w:right="7"/>
      </w:pPr>
      <w:r>
        <w:t>According to the Cambridge University reporter (2003), academic achievement is typically expressed in terms of exam results. Academic performance is defined as what pupils have learned or the abilities they have acquired, and it is often assessed using tools like standardised examinations, performance evaluations, and portfolio evaluations. The information from descriptive assessments is often translated using a grading system like grade point average (GPA) and course grade. One of the main objectives of a school is to improve academic performance, which is determined by test scores. According to Hoyle (2014), the purpose of schools is to teach students information and skills, and the motivation for all of this is to improve students' academic performance (kyoshaba, 2009).</w:t>
      </w:r>
    </w:p>
    <w:p w14:paraId="4FD3FEA2" w14:textId="77777777" w:rsidR="00406B58" w:rsidRDefault="00000000">
      <w:pPr>
        <w:spacing w:after="278"/>
        <w:ind w:left="-1" w:right="7"/>
      </w:pPr>
      <w:r>
        <w:t>Academic performance and academic accomplishment are equated in the study paper Annie (2016) submitted to www.wikipedia.org. According to Annie, academic performance is the result of education and measures how well a student, teacher, or organisation has accomplished its educational objectives. The academic achievement of students is often assessed via exams or ongoing evaluation, but Annie went on to say that there is no consensus on the optimal testing methods or which components—procedural knowledge like skills or declarative information like facts—are more important.</w:t>
      </w:r>
    </w:p>
    <w:p w14:paraId="12DC638C" w14:textId="77777777" w:rsidR="00406B58" w:rsidRDefault="00000000">
      <w:pPr>
        <w:spacing w:after="278"/>
        <w:ind w:left="-1" w:right="7"/>
      </w:pPr>
      <w:r>
        <w:t>Obianju (2013) asserts that achieving academic success requires motivation and, often, singlemindedness. This implies that a youngster or student who enters school to succeed works towards that goal. The academic success of such a pupil reflects his or her efforts. According to Obianju's (2013) contribution, a student's performance is influenced by the attitude they have before starting school. The student's attitude towards their academic endeavours will depend on their mental condition. Unwilling students are likely to fare horribly in their academic endeavours. Such a student can be tardy to class or exhibit bad behaviour towards assignments and exercises. This will undoubtedly have an impact on the student's success in the test.</w:t>
      </w:r>
    </w:p>
    <w:p w14:paraId="2BE3AB68" w14:textId="77777777" w:rsidR="00406B58" w:rsidRDefault="00000000">
      <w:pPr>
        <w:spacing w:after="278"/>
        <w:ind w:left="-1" w:right="7"/>
      </w:pPr>
      <w:r>
        <w:lastRenderedPageBreak/>
        <w:t>Since the major emphasis is on student achievement for the specific term, Mushtaq and Khan (2012) highlighted that the Grade Point Average (GPA) is often used to gauge students' academic success. This is also consistent with Andrews University's Working Policy (2:437), which states that a student's academic success is mostly based on their degree of accomplishment in their courses and topics. The linked non-academic areas of professional appropriateness, lifestyle, and clinical competency are also considered for certain topics or courses, however.</w:t>
      </w:r>
    </w:p>
    <w:p w14:paraId="58337B70" w14:textId="77777777" w:rsidR="00406B58" w:rsidRDefault="00000000">
      <w:pPr>
        <w:pStyle w:val="Heading2"/>
        <w:ind w:left="3" w:right="1"/>
      </w:pPr>
      <w:r>
        <w:t>Effect of Sexually Transmitted Diseases on the Academic Performance of Learners with Physical and Health Impairments</w:t>
      </w:r>
    </w:p>
    <w:p w14:paraId="4A135C8A" w14:textId="77777777" w:rsidR="00406B58" w:rsidRDefault="00000000">
      <w:pPr>
        <w:spacing w:after="278"/>
        <w:ind w:left="-1" w:right="7"/>
      </w:pPr>
      <w:r>
        <w:t>Teenagers and young adults between the ages of 15 and 24 are more susceptible to Sexually Transmitted Infections than senior adults. The World Health Organisation estimates that twenty percent of HIV/AIDS patients are in their twenties and that one in twenty adolescents contract a sexually transmitted infection annually. More adolescents engage in unprotected sexual activity, have multiple sexual partners, and engage in transgenerational and transactional sexual activity. The cervical membrane of female adolescents and young women renders them more susceptible to sexually transmitted infections (STIs). In addition, they may have difficulty obtaining the necessary information, services, and supplies to prevent STIs. In addition, they may have trouble accessing STI prevention services because they do not know where to locate them, lack transportation, or cannot afford the services. Even if they have access to STI prevention services, they may not feel secure in non-youthfriendly environments (Tilson, Sanchez, Ford, 2008).</w:t>
      </w:r>
    </w:p>
    <w:p w14:paraId="63D206B4" w14:textId="77777777" w:rsidR="00406B58" w:rsidRDefault="00000000">
      <w:pPr>
        <w:spacing w:after="278"/>
        <w:ind w:left="-1" w:right="7"/>
      </w:pPr>
      <w:r>
        <w:t>Knowledge of STIs and their complications is crucial for effective prevention and treatment, as individuals who are unaware of the symptoms may not recognise their need and therefore fail to seek assistance. The developing world has a limited understanding of STIs other than HIV/AIDS. According to studies, students' intimate relationships are on the rise and prevalent in the majority of African institutions (Jones &amp; Espey, 2008). The trend is progressively shifting, and the prevalence of student-adolescents and juveniles engaging in sexual relationships is high, posing social, health, and academic problems. Sexual activity among students has led to an increase in unintended pregnancies, poor academic performance, and ultimately school dropouts (Mlyakado, 2013). In Nigeria, however, the effects of intimate relationships on students' academic performance have not been thoroughly studied. The majority of previous research in Nigeria has focused on factors affecting academic performance in general. Teachers' incompetence, students' lack of motivation, teachers' low morale, the level of sexual activity among students, etc. are among the factors examined and summarised by Timothy (2010). Evidence from other nations may aid in understanding the current relationship between intimate relationships among students and academic performance. Numerous studies in the United States indicate that adolescents who abstain from sexual activity are more likely to graduate from high school and enrol in college than their sexually active peers (Sabia &amp; Rees, 2009). This study provides a solid foundation for understanding the sexual behaviours and academic performance of adolescents in various contexts, including Nigeria, despite the fact that the American context is incomparable to Nigeria's due to vast differences in socioeconomic, educational, and technological development.</w:t>
      </w:r>
    </w:p>
    <w:p w14:paraId="0B5808CD" w14:textId="77777777" w:rsidR="00406B58" w:rsidRDefault="00000000">
      <w:pPr>
        <w:spacing w:after="382"/>
        <w:ind w:left="-1" w:right="7"/>
      </w:pPr>
      <w:r>
        <w:t xml:space="preserve">There are several risks involved with STIs that go untreated or are treated inadequately. Epididymitis is a complication of gonorrhoea and chlamydia trachomatis infection that may </w:t>
      </w:r>
      <w:r>
        <w:lastRenderedPageBreak/>
        <w:t xml:space="preserve">lead to long-term infertility in men. Inadequate management of gonococcal urethritis may also lead to the development of inflammatory urethral stricture in the long run. If not treated, this might cause urine retention and chronic renal failure. Future reproductive competencies in women can be jeopardised by pelvic inflammatory disease, dyspareunia, infertility, chronic pelvic pain, an increased risk of ectopic pregnancies, abortions, stillbirths, and perinatal and neonatal morbidities (Adegun, Solomon, Adegoke, Ade-Ojo, &amp; Fape, 2013). Having a solid grasp of academic information is crucial for success in school. But in Nigeria, that has not been the case. Over time, the quality of education in Nigeria has dropped (Mlyakado, 2013). Concern has been raised, particularly among parents, over the low academic performance of Nigerian pupils, as seen by a high rate of dropouts from secondary schools. To measure the state of secondary education in Nigeria, the 'Certificate of Secondary Education' (CSE) scores have been a disappointing barometer. This research isn't meant to shed light on widespread failure rates in Nigeria; rather, it seeks to determine whether or not sexual relationships among students have an impact on their academic success. Sex relationships among college students have been linked to better grades (Sabia &amp; Rees, 2009). High school students who were romantically involved had considerably and persistently lower levels of academic success and academic motivation compared to their non-dating peers. Another study looking at the correlation between adolescent sexual abstinence and academic success found that students who did not engage in sexual activity while in high school were 60% less likely to be expelled, 50% less likely to drop out of high school, and almost twice as likely to graduate from college.  In support of these findings, the following arguments were offered: </w:t>
      </w:r>
    </w:p>
    <w:p w14:paraId="4B56590B" w14:textId="77777777" w:rsidR="00406B58" w:rsidRDefault="00000000">
      <w:pPr>
        <w:numPr>
          <w:ilvl w:val="0"/>
          <w:numId w:val="2"/>
        </w:numPr>
        <w:ind w:right="7" w:hanging="504"/>
      </w:pPr>
      <w:r>
        <w:t xml:space="preserve">when greater energy and interest were invested in sexual activity, the drive for academic performance was likely to decrease; </w:t>
      </w:r>
    </w:p>
    <w:p w14:paraId="4AA2DA28" w14:textId="77777777" w:rsidR="00406B58" w:rsidRDefault="00000000">
      <w:pPr>
        <w:numPr>
          <w:ilvl w:val="0"/>
          <w:numId w:val="2"/>
        </w:numPr>
        <w:ind w:right="7" w:hanging="504"/>
      </w:pPr>
      <w:r>
        <w:t>sexually active teens may become preoccupied with the present—sexual activity, and then long-term—academic goals may have diminished importance;</w:t>
      </w:r>
    </w:p>
    <w:p w14:paraId="6497FE3B" w14:textId="77777777" w:rsidR="00406B58" w:rsidRDefault="00000000">
      <w:pPr>
        <w:numPr>
          <w:ilvl w:val="0"/>
          <w:numId w:val="2"/>
        </w:numPr>
        <w:spacing w:after="278"/>
        <w:ind w:right="7" w:hanging="504"/>
      </w:pPr>
      <w:r>
        <w:t>teenage sexual relationships are inherently short-term and unstable, the breakdown of intimate relationships is likely to result in emotional turmoil and depression, which, in turn, may have a negative impact on academic performance. Good academic performance is a fundamental goal for any educational institution that seeks to provide a high-quality education. It should also be noted that students are in school to attain academic success. The adolescent years are a crucial period in the development of a young person's life, including academic and eventually career decisions. On the other hand, most adolescents experiment with their sexual fantasies around the same time (Kelly, 2001), which may compromise their academic life and negatively impact their academic performance. Garbut (2019) asserts that adolescents with physical and health impairments are susceptible to academic difficulties due to their health issues. This is because they may not be able to avoid abuse at the hands of able-bodied individuals, and as a result, they may easily contract STIs that can destroy their lives in general. In addition, they may be unable to receive regular checkups at the hospital, which may result in a lack of focus in the classroom.</w:t>
      </w:r>
    </w:p>
    <w:p w14:paraId="36010523" w14:textId="77777777" w:rsidR="00406B58" w:rsidRDefault="00000000">
      <w:pPr>
        <w:pStyle w:val="Heading2"/>
        <w:ind w:left="3" w:right="1"/>
      </w:pPr>
      <w:r>
        <w:t>How to Aid Knowledge and Awareness of Sexually Transmitted Diseases among Learners with Physical and Health Impairments</w:t>
      </w:r>
    </w:p>
    <w:p w14:paraId="602ED22D" w14:textId="77777777" w:rsidR="00406B58" w:rsidRDefault="00000000">
      <w:pPr>
        <w:spacing w:after="278"/>
        <w:ind w:left="-1" w:right="7"/>
      </w:pPr>
      <w:r>
        <w:t xml:space="preserve">Young individuals are more vulnerable since they are sexually active and tend to travel a lot. The elderly is less likely to develop an STD because they are more devout and less </w:t>
      </w:r>
      <w:r>
        <w:lastRenderedPageBreak/>
        <w:t>influenced by Western culture. Unfortunately, most nations place a low focus on preventing and controlling STDs, particularly among young people. Public health policymakers have been slow to address sexually transmitted diseases because of a combination of factors, including a lack of awareness of the problem, competition for resources to control other important health problems, and reluctance. In a similar vein, until recently, the primary emphasis of most STD prevention programmes was on the reduction of secondary infections. It was found that (David et al., 2016). As a result of the worldwide pandemic of HIV/AIDS and the discovery of various Sexually Transmitted Diseases as risk factors for the spread of HIV, primary prevention is now gaining considerable attention.  Most participants had heard of both HIV and genital herpes. A sizeable minority did not know that genital warts, hepatitis B, gonorrhoea, and syphilis are all sexually transmitted diseases. In addition, few people understand that Chlamydia is a sexually transmitted disease. Even though it is common knowledge that South Africa is the nation worst hit by STDs, this does not alter the reality that no community is safe from contracting these diseases.  Adolescents' knowledge of how to avoid contracting sexually transmitted diseases is relatively low. Some worry that encouraging condom usage may lead to people being more comfortable with taking risks, which might lead to an increase in the occurrence of risky sexual behaviour. (David et al., 2016). The core tenets of screening and prevention are undermined by the fear of knowledge about illnesses. Fear of this activity is evident in the fact that many respondents said they would seek medical attention promptly if they had signs of a sexually transmitted disease; this finding distinguishes the importance of education and prevention above treatment. Since the chosen age group now relies on these sources more than ever before, it stands to reason that information targeting them may be better received and awareness could be promoted via peer-to-peer education, the internet, and the media. It was found that (David et al., 2016).To provide young people with better and more accurate information on Sexually Transmitted Diseases and HIV/AIDS, it is crucial to strengthen educational initiatives at schools. Over ninety-five percent of participants in the current survey agreed that STD education should be mandated in schools. Due to media coverage and visibility, people were found to know more about HIV/AIDS than the other Sexually Transmitted Diseases. It was found that (David et al., 2016). Secondary school pupils' understanding of STDs was found poor. Young people continue to learn about STDs mostly via formal education, peer education, the Internet, and the media. This means that focusing on primary prevention of STDs is crucial. Sexually transmitted disease (STD) education programmes should begin in middle schools to increase demand for premarital screenings and thereby mitigate the risk of STD spread across the state (David, Catherine, Julie, Elizabeth, Katherine, Lorretha, &amp; Michael, 2016).</w:t>
      </w:r>
    </w:p>
    <w:p w14:paraId="7F41E69B" w14:textId="77777777" w:rsidR="00406B58" w:rsidRDefault="00000000">
      <w:pPr>
        <w:pStyle w:val="Heading2"/>
        <w:ind w:left="3" w:right="1"/>
      </w:pPr>
      <w:r>
        <w:t>Methodology</w:t>
      </w:r>
    </w:p>
    <w:p w14:paraId="1E38B57B" w14:textId="77777777" w:rsidR="00406B58" w:rsidRDefault="00000000">
      <w:pPr>
        <w:ind w:left="-1" w:right="7"/>
      </w:pPr>
      <w:r>
        <w:t xml:space="preserve">Descriptive survey methodology was used for this investigation. Students from the Oyo West LGA of Oyo State make up the study's population. The participants were selected at random from the population of Oyo West Local Government, Oyo State, using a basic random selection procedure. Five schools were visited for this study. Thirty students were randomly selected from each school making a total number of 150 respondents. The name of the schools is Ladigbolu Grammar School, Oyo, Salamat Olaniyan Memorial College, Sawmill, Oyo, Treasure Model College, Alagbon, Oyo, Army Children Secondary School, Ojongbodu and EACOED Model College, Isokun. The research instrument used for this study is a questionnaire. One hundred and fifty (150) copies of the questionnaire were administered to the respondents. Researchers, in conjunction with research assistants, </w:t>
      </w:r>
      <w:r>
        <w:lastRenderedPageBreak/>
        <w:t>distributed the instruments to targeted respondents in Oyo West Local Government, Oyo State. The questionnaires were collected immediately upon completion. The data collected for the study were analyzed using Chi-square to enable ease of understanding of the findings of the study.</w:t>
      </w:r>
    </w:p>
    <w:p w14:paraId="0096FC31" w14:textId="77777777" w:rsidR="00406B58" w:rsidRDefault="00000000">
      <w:pPr>
        <w:pStyle w:val="Heading2"/>
        <w:ind w:left="3" w:right="1"/>
      </w:pPr>
      <w:r>
        <w:t>Results</w:t>
      </w:r>
    </w:p>
    <w:p w14:paraId="3B55825F" w14:textId="77777777" w:rsidR="00406B58" w:rsidRDefault="00000000">
      <w:pPr>
        <w:spacing w:after="278"/>
        <w:ind w:left="-1" w:right="7"/>
      </w:pPr>
      <w:r>
        <w:rPr>
          <w:b/>
        </w:rPr>
        <w:t>Research Question 1</w:t>
      </w:r>
      <w:r>
        <w:t>: To what extent does the knowledge and awareness of Sexually Transmitted Diseases motivate the interest of students with physical and health impairments towards their attitude to sex?</w:t>
      </w:r>
    </w:p>
    <w:p w14:paraId="5A77548C" w14:textId="77777777" w:rsidR="00406B58" w:rsidRDefault="00000000">
      <w:pPr>
        <w:pStyle w:val="Heading2"/>
        <w:ind w:left="3" w:right="1"/>
      </w:pPr>
      <w:r>
        <w:t>Table 1</w:t>
      </w:r>
    </w:p>
    <w:tbl>
      <w:tblPr>
        <w:tblStyle w:val="TableGrid"/>
        <w:tblW w:w="7905" w:type="dxa"/>
        <w:tblInd w:w="421" w:type="dxa"/>
        <w:tblCellMar>
          <w:top w:w="35" w:type="dxa"/>
          <w:left w:w="108" w:type="dxa"/>
          <w:bottom w:w="13" w:type="dxa"/>
          <w:right w:w="115" w:type="dxa"/>
        </w:tblCellMar>
        <w:tblLook w:val="04A0" w:firstRow="1" w:lastRow="0" w:firstColumn="1" w:lastColumn="0" w:noHBand="0" w:noVBand="1"/>
      </w:tblPr>
      <w:tblGrid>
        <w:gridCol w:w="893"/>
        <w:gridCol w:w="899"/>
        <w:gridCol w:w="1079"/>
        <w:gridCol w:w="1079"/>
        <w:gridCol w:w="1349"/>
        <w:gridCol w:w="2112"/>
        <w:gridCol w:w="494"/>
      </w:tblGrid>
      <w:tr w:rsidR="00406B58" w14:paraId="295A361E" w14:textId="77777777">
        <w:trPr>
          <w:trHeight w:val="693"/>
        </w:trPr>
        <w:tc>
          <w:tcPr>
            <w:tcW w:w="894" w:type="dxa"/>
            <w:tcBorders>
              <w:top w:val="single" w:sz="4" w:space="0" w:color="000000"/>
              <w:left w:val="single" w:sz="4" w:space="0" w:color="000000"/>
              <w:bottom w:val="single" w:sz="4" w:space="0" w:color="000000"/>
              <w:right w:val="single" w:sz="4" w:space="0" w:color="000000"/>
            </w:tcBorders>
          </w:tcPr>
          <w:p w14:paraId="2EF36297" w14:textId="77777777" w:rsidR="00406B58" w:rsidRDefault="00000000">
            <w:pPr>
              <w:spacing w:after="0" w:line="259" w:lineRule="auto"/>
              <w:ind w:left="0" w:right="0" w:firstLine="0"/>
              <w:jc w:val="left"/>
            </w:pPr>
            <w:r>
              <w:rPr>
                <w:b/>
                <w:color w:val="000000"/>
              </w:rPr>
              <w:t xml:space="preserve">c </w:t>
            </w:r>
          </w:p>
        </w:tc>
        <w:tc>
          <w:tcPr>
            <w:tcW w:w="899" w:type="dxa"/>
            <w:tcBorders>
              <w:top w:val="single" w:sz="4" w:space="0" w:color="000000"/>
              <w:left w:val="single" w:sz="4" w:space="0" w:color="000000"/>
              <w:bottom w:val="single" w:sz="4" w:space="0" w:color="000000"/>
              <w:right w:val="single" w:sz="4" w:space="0" w:color="000000"/>
            </w:tcBorders>
          </w:tcPr>
          <w:p w14:paraId="4A1A0BA1" w14:textId="77777777" w:rsidR="00406B58" w:rsidRDefault="00000000">
            <w:pPr>
              <w:spacing w:after="0" w:line="259" w:lineRule="auto"/>
              <w:ind w:left="0" w:right="0" w:firstLine="0"/>
              <w:jc w:val="left"/>
            </w:pPr>
            <w:r>
              <w:rPr>
                <w:b/>
                <w:color w:val="000000"/>
              </w:rPr>
              <w:t xml:space="preserve">Fo </w:t>
            </w:r>
          </w:p>
        </w:tc>
        <w:tc>
          <w:tcPr>
            <w:tcW w:w="1079" w:type="dxa"/>
            <w:tcBorders>
              <w:top w:val="single" w:sz="4" w:space="0" w:color="000000"/>
              <w:left w:val="single" w:sz="4" w:space="0" w:color="000000"/>
              <w:bottom w:val="single" w:sz="4" w:space="0" w:color="000000"/>
              <w:right w:val="single" w:sz="4" w:space="0" w:color="000000"/>
            </w:tcBorders>
          </w:tcPr>
          <w:p w14:paraId="643CF1FC" w14:textId="77777777" w:rsidR="00406B58" w:rsidRDefault="00000000">
            <w:pPr>
              <w:spacing w:after="0" w:line="259" w:lineRule="auto"/>
              <w:ind w:left="0" w:right="0" w:firstLine="0"/>
              <w:jc w:val="left"/>
            </w:pPr>
            <w:r>
              <w:rPr>
                <w:b/>
                <w:color w:val="000000"/>
              </w:rPr>
              <w:t xml:space="preserve">Fe </w:t>
            </w:r>
          </w:p>
        </w:tc>
        <w:tc>
          <w:tcPr>
            <w:tcW w:w="1079" w:type="dxa"/>
            <w:tcBorders>
              <w:top w:val="single" w:sz="4" w:space="0" w:color="000000"/>
              <w:left w:val="single" w:sz="4" w:space="0" w:color="000000"/>
              <w:bottom w:val="single" w:sz="4" w:space="0" w:color="000000"/>
              <w:right w:val="single" w:sz="4" w:space="0" w:color="000000"/>
            </w:tcBorders>
          </w:tcPr>
          <w:p w14:paraId="111C29DD" w14:textId="77777777" w:rsidR="00406B58" w:rsidRDefault="00000000">
            <w:pPr>
              <w:spacing w:after="0" w:line="259" w:lineRule="auto"/>
              <w:ind w:left="0" w:right="0" w:firstLine="0"/>
              <w:jc w:val="left"/>
            </w:pPr>
            <w:r>
              <w:rPr>
                <w:b/>
                <w:color w:val="000000"/>
              </w:rPr>
              <w:t xml:space="preserve">Fo-Fe </w:t>
            </w:r>
          </w:p>
        </w:tc>
        <w:tc>
          <w:tcPr>
            <w:tcW w:w="1349" w:type="dxa"/>
            <w:tcBorders>
              <w:top w:val="single" w:sz="4" w:space="0" w:color="000000"/>
              <w:left w:val="single" w:sz="4" w:space="0" w:color="000000"/>
              <w:bottom w:val="single" w:sz="4" w:space="0" w:color="000000"/>
              <w:right w:val="single" w:sz="4" w:space="0" w:color="000000"/>
            </w:tcBorders>
          </w:tcPr>
          <w:p w14:paraId="007ECA8C" w14:textId="77777777" w:rsidR="00406B58" w:rsidRDefault="00000000">
            <w:pPr>
              <w:spacing w:after="0" w:line="259" w:lineRule="auto"/>
              <w:ind w:left="0" w:right="0" w:firstLine="0"/>
              <w:jc w:val="left"/>
            </w:pPr>
            <w:r>
              <w:rPr>
                <w:b/>
                <w:color w:val="000000"/>
              </w:rPr>
              <w:t>(Fo-Fe)</w:t>
            </w:r>
            <w:r>
              <w:rPr>
                <w:b/>
                <w:color w:val="000000"/>
                <w:vertAlign w:val="superscript"/>
              </w:rPr>
              <w:t>2</w:t>
            </w:r>
            <w:r>
              <w:rPr>
                <w:b/>
                <w:color w:val="000000"/>
              </w:rPr>
              <w:t xml:space="preserve"> </w:t>
            </w:r>
          </w:p>
        </w:tc>
        <w:tc>
          <w:tcPr>
            <w:tcW w:w="2605" w:type="dxa"/>
            <w:gridSpan w:val="2"/>
            <w:tcBorders>
              <w:top w:val="single" w:sz="4" w:space="0" w:color="000000"/>
              <w:left w:val="single" w:sz="4" w:space="0" w:color="000000"/>
              <w:bottom w:val="single" w:sz="4" w:space="0" w:color="000000"/>
              <w:right w:val="single" w:sz="4" w:space="0" w:color="000000"/>
            </w:tcBorders>
            <w:vAlign w:val="bottom"/>
          </w:tcPr>
          <w:p w14:paraId="1B2D065F" w14:textId="77777777" w:rsidR="00406B58" w:rsidRDefault="00000000">
            <w:pPr>
              <w:spacing w:after="0" w:line="259" w:lineRule="auto"/>
              <w:ind w:left="968" w:right="0" w:hanging="817"/>
              <w:jc w:val="left"/>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74047D8" wp14:editId="08110D80">
                      <wp:simplePos x="0" y="0"/>
                      <wp:positionH relativeFrom="column">
                        <wp:posOffset>762547</wp:posOffset>
                      </wp:positionH>
                      <wp:positionV relativeFrom="paragraph">
                        <wp:posOffset>-108710</wp:posOffset>
                      </wp:positionV>
                      <wp:extent cx="660568" cy="198529"/>
                      <wp:effectExtent l="0" t="0" r="0" b="0"/>
                      <wp:wrapNone/>
                      <wp:docPr id="36528" name="Group 36528"/>
                      <wp:cNvGraphicFramePr/>
                      <a:graphic xmlns:a="http://schemas.openxmlformats.org/drawingml/2006/main">
                        <a:graphicData uri="http://schemas.microsoft.com/office/word/2010/wordprocessingGroup">
                          <wpg:wgp>
                            <wpg:cNvGrpSpPr/>
                            <wpg:grpSpPr>
                              <a:xfrm>
                                <a:off x="0" y="0"/>
                                <a:ext cx="660568" cy="198529"/>
                                <a:chOff x="0" y="0"/>
                                <a:chExt cx="660568" cy="198529"/>
                              </a:xfrm>
                            </wpg:grpSpPr>
                            <wps:wsp>
                              <wps:cNvPr id="1098" name="Shape 1098"/>
                              <wps:cNvSpPr/>
                              <wps:spPr>
                                <a:xfrm>
                                  <a:off x="16113" y="0"/>
                                  <a:ext cx="54454" cy="184216"/>
                                </a:xfrm>
                                <a:custGeom>
                                  <a:avLst/>
                                  <a:gdLst/>
                                  <a:ahLst/>
                                  <a:cxnLst/>
                                  <a:rect l="0" t="0" r="0" b="0"/>
                                  <a:pathLst>
                                    <a:path w="54454" h="184216">
                                      <a:moveTo>
                                        <a:pt x="54454" y="0"/>
                                      </a:moveTo>
                                      <a:lnTo>
                                        <a:pt x="54454" y="4150"/>
                                      </a:lnTo>
                                      <a:cubicBezTo>
                                        <a:pt x="46358" y="8640"/>
                                        <a:pt x="39709" y="14746"/>
                                        <a:pt x="34514" y="22540"/>
                                      </a:cubicBezTo>
                                      <a:cubicBezTo>
                                        <a:pt x="29319" y="30297"/>
                                        <a:pt x="25438" y="40183"/>
                                        <a:pt x="22875" y="52129"/>
                                      </a:cubicBezTo>
                                      <a:cubicBezTo>
                                        <a:pt x="20312" y="64105"/>
                                        <a:pt x="19027" y="76554"/>
                                        <a:pt x="19027" y="89543"/>
                                      </a:cubicBezTo>
                                      <a:cubicBezTo>
                                        <a:pt x="19027" y="104220"/>
                                        <a:pt x="20207" y="117515"/>
                                        <a:pt x="22569" y="129354"/>
                                      </a:cubicBezTo>
                                      <a:cubicBezTo>
                                        <a:pt x="24930" y="141232"/>
                                        <a:pt x="28578" y="151049"/>
                                        <a:pt x="33434" y="158876"/>
                                      </a:cubicBezTo>
                                      <a:cubicBezTo>
                                        <a:pt x="38295" y="166670"/>
                                        <a:pt x="45310" y="173689"/>
                                        <a:pt x="54454" y="179964"/>
                                      </a:cubicBezTo>
                                      <a:lnTo>
                                        <a:pt x="54454" y="184216"/>
                                      </a:lnTo>
                                      <a:cubicBezTo>
                                        <a:pt x="37282" y="175644"/>
                                        <a:pt x="23919" y="163095"/>
                                        <a:pt x="14340" y="146494"/>
                                      </a:cubicBezTo>
                                      <a:cubicBezTo>
                                        <a:pt x="4792" y="129927"/>
                                        <a:pt x="0" y="111812"/>
                                        <a:pt x="0" y="92109"/>
                                      </a:cubicBezTo>
                                      <a:cubicBezTo>
                                        <a:pt x="0" y="71629"/>
                                        <a:pt x="5027" y="52970"/>
                                        <a:pt x="15081" y="36137"/>
                                      </a:cubicBezTo>
                                      <a:cubicBezTo>
                                        <a:pt x="25168" y="19300"/>
                                        <a:pt x="38295" y="7254"/>
                                        <a:pt x="544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541735" y="0"/>
                                  <a:ext cx="54454" cy="184216"/>
                                </a:xfrm>
                                <a:custGeom>
                                  <a:avLst/>
                                  <a:gdLst/>
                                  <a:ahLst/>
                                  <a:cxnLst/>
                                  <a:rect l="0" t="0" r="0" b="0"/>
                                  <a:pathLst>
                                    <a:path w="54454" h="184216">
                                      <a:moveTo>
                                        <a:pt x="0" y="0"/>
                                      </a:moveTo>
                                      <a:cubicBezTo>
                                        <a:pt x="17172" y="8503"/>
                                        <a:pt x="30535" y="21021"/>
                                        <a:pt x="40114" y="37619"/>
                                      </a:cubicBezTo>
                                      <a:cubicBezTo>
                                        <a:pt x="49662" y="54187"/>
                                        <a:pt x="54454" y="72303"/>
                                        <a:pt x="54454" y="92005"/>
                                      </a:cubicBezTo>
                                      <a:cubicBezTo>
                                        <a:pt x="54454" y="112485"/>
                                        <a:pt x="49427" y="131176"/>
                                        <a:pt x="39372" y="148046"/>
                                      </a:cubicBezTo>
                                      <a:cubicBezTo>
                                        <a:pt x="29286" y="164916"/>
                                        <a:pt x="16196" y="176961"/>
                                        <a:pt x="0" y="184216"/>
                                      </a:cubicBezTo>
                                      <a:lnTo>
                                        <a:pt x="0" y="179964"/>
                                      </a:lnTo>
                                      <a:cubicBezTo>
                                        <a:pt x="8165" y="175475"/>
                                        <a:pt x="14846" y="169370"/>
                                        <a:pt x="20041" y="161575"/>
                                      </a:cubicBezTo>
                                      <a:cubicBezTo>
                                        <a:pt x="25236" y="153817"/>
                                        <a:pt x="29084" y="143963"/>
                                        <a:pt x="31612" y="132019"/>
                                      </a:cubicBezTo>
                                      <a:cubicBezTo>
                                        <a:pt x="34143" y="120110"/>
                                        <a:pt x="35427" y="107628"/>
                                        <a:pt x="35427" y="94572"/>
                                      </a:cubicBezTo>
                                      <a:cubicBezTo>
                                        <a:pt x="35427" y="79963"/>
                                        <a:pt x="34243" y="66704"/>
                                        <a:pt x="31918" y="54791"/>
                                      </a:cubicBezTo>
                                      <a:cubicBezTo>
                                        <a:pt x="29589" y="42916"/>
                                        <a:pt x="25978" y="33065"/>
                                        <a:pt x="21053" y="25240"/>
                                      </a:cubicBezTo>
                                      <a:cubicBezTo>
                                        <a:pt x="16159" y="17445"/>
                                        <a:pt x="9144" y="10393"/>
                                        <a:pt x="0" y="415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0" y="198529"/>
                                  <a:ext cx="660568" cy="0"/>
                                </a:xfrm>
                                <a:custGeom>
                                  <a:avLst/>
                                  <a:gdLst/>
                                  <a:ahLst/>
                                  <a:cxnLst/>
                                  <a:rect l="0" t="0" r="0" b="0"/>
                                  <a:pathLst>
                                    <a:path w="660568">
                                      <a:moveTo>
                                        <a:pt x="0" y="0"/>
                                      </a:moveTo>
                                      <a:lnTo>
                                        <a:pt x="660568" y="0"/>
                                      </a:lnTo>
                                    </a:path>
                                  </a:pathLst>
                                </a:custGeom>
                                <a:ln w="6087"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28" style="width:52.0132pt;height:15.6322pt;position:absolute;z-index:-2147483593;mso-position-horizontal-relative:text;mso-position-horizontal:absolute;margin-left:60.0431pt;mso-position-vertical-relative:text;margin-top:-8.55992pt;" coordsize="6605,1985">
                      <v:shape id="Shape 1098" style="position:absolute;width:544;height:1842;left:161;top:0;" coordsize="54454,184216" path="m54454,0l54454,4150c46358,8640,39709,14746,34514,22540c29319,30297,25438,40183,22875,52129c20312,64105,19027,76554,19027,89543c19027,104220,20207,117515,22569,129354c24930,141232,28578,151049,33434,158876c38295,166670,45310,173689,54454,179964l54454,184216c37282,175644,23919,163095,14340,146494c4792,129927,0,111812,0,92109c0,71629,5027,52970,15081,36137c25168,19300,38295,7254,54454,0x">
                        <v:stroke weight="0pt" endcap="flat" joinstyle="miter" miterlimit="10" on="false" color="#000000" opacity="0"/>
                        <v:fill on="true" color="#000000"/>
                      </v:shape>
                      <v:shape id="Shape 1099" style="position:absolute;width:544;height:1842;left:5417;top:0;" coordsize="54454,184216" path="m0,0c17172,8503,30535,21021,40114,37619c49662,54187,54454,72303,54454,92005c54454,112485,49427,131176,39372,148046c29286,164916,16196,176961,0,184216l0,179964c8165,175475,14846,169370,20041,161575c25236,153817,29084,143963,31612,132019c34143,120110,35427,107628,35427,94572c35427,79963,34243,66704,31918,54791c29589,42916,25978,33065,21053,25240c16159,17445,9144,10393,0,4150l0,0x">
                        <v:stroke weight="0pt" endcap="flat" joinstyle="miter" miterlimit="10" on="false" color="#000000" opacity="0"/>
                        <v:fill on="true" color="#000000"/>
                      </v:shape>
                      <v:shape id="Shape 1100" style="position:absolute;width:6605;height:0;left:0;top:1985;" coordsize="660568,0" path="m0,0l660568,0">
                        <v:stroke weight="0.4793pt" endcap="flat" joinstyle="miter" miterlimit="2" on="true" color="#000000"/>
                        <v:fill on="false" color="#000000" opacity="0"/>
                      </v:shape>
                    </v:group>
                  </w:pict>
                </mc:Fallback>
              </mc:AlternateContent>
            </w:r>
            <w:r>
              <w:rPr>
                <w:i/>
                <w:color w:val="000000"/>
              </w:rPr>
              <w:t xml:space="preserve">X </w:t>
            </w:r>
            <w:r>
              <w:rPr>
                <w:color w:val="000000"/>
                <w:sz w:val="14"/>
              </w:rPr>
              <w:t xml:space="preserve">2 </w:t>
            </w:r>
            <w:r>
              <w:rPr>
                <w:rFonts w:ascii="Segoe UI Symbol" w:eastAsia="Segoe UI Symbol" w:hAnsi="Segoe UI Symbol" w:cs="Segoe UI Symbol"/>
                <w:color w:val="000000"/>
              </w:rPr>
              <w:t>=</w:t>
            </w:r>
            <w:r>
              <w:rPr>
                <w:rFonts w:ascii="Segoe UI Symbol" w:eastAsia="Segoe UI Symbol" w:hAnsi="Segoe UI Symbol" w:cs="Segoe UI Symbol"/>
                <w:color w:val="000000"/>
                <w:sz w:val="56"/>
                <w:vertAlign w:val="subscript"/>
              </w:rPr>
              <w:t>å</w:t>
            </w:r>
            <w:r>
              <w:rPr>
                <w:rFonts w:ascii="Segoe UI Symbol" w:eastAsia="Segoe UI Symbol" w:hAnsi="Segoe UI Symbol" w:cs="Segoe UI Symbol"/>
                <w:color w:val="000000"/>
              </w:rPr>
              <w:t xml:space="preserve">æç </w:t>
            </w:r>
            <w:r>
              <w:rPr>
                <w:i/>
                <w:color w:val="000000"/>
              </w:rPr>
              <w:t>FoFo</w:t>
            </w:r>
            <w:r>
              <w:rPr>
                <w:rFonts w:ascii="Segoe UI Symbol" w:eastAsia="Segoe UI Symbol" w:hAnsi="Segoe UI Symbol" w:cs="Segoe UI Symbol"/>
                <w:color w:val="000000"/>
              </w:rPr>
              <w:t>-</w:t>
            </w:r>
            <w:r>
              <w:rPr>
                <w:i/>
                <w:color w:val="000000"/>
              </w:rPr>
              <w:t>Fe</w:t>
            </w:r>
            <w:r>
              <w:rPr>
                <w:color w:val="000000"/>
              </w:rPr>
              <w:t>2</w:t>
            </w:r>
            <w:r>
              <w:rPr>
                <w:rFonts w:ascii="Segoe UI Symbol" w:eastAsia="Segoe UI Symbol" w:hAnsi="Segoe UI Symbol" w:cs="Segoe UI Symbol"/>
                <w:color w:val="000000"/>
              </w:rPr>
              <w:t>ö÷ø</w:t>
            </w:r>
            <w:r>
              <w:rPr>
                <w:b/>
                <w:color w:val="000000"/>
              </w:rPr>
              <w:t xml:space="preserve"> </w:t>
            </w:r>
            <w:r>
              <w:rPr>
                <w:rFonts w:ascii="Segoe UI Symbol" w:eastAsia="Segoe UI Symbol" w:hAnsi="Segoe UI Symbol" w:cs="Segoe UI Symbol"/>
                <w:color w:val="000000"/>
              </w:rPr>
              <w:t>è</w:t>
            </w:r>
          </w:p>
        </w:tc>
      </w:tr>
      <w:tr w:rsidR="00406B58" w14:paraId="6C6EA730"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04DAE672" w14:textId="77777777" w:rsidR="00406B58" w:rsidRDefault="00000000">
            <w:pPr>
              <w:spacing w:after="0" w:line="259" w:lineRule="auto"/>
              <w:ind w:left="0" w:right="0" w:firstLine="0"/>
              <w:jc w:val="left"/>
            </w:pPr>
            <w:r>
              <w:rPr>
                <w:color w:val="000000"/>
              </w:rPr>
              <w:t xml:space="preserve">1 </w:t>
            </w:r>
          </w:p>
        </w:tc>
        <w:tc>
          <w:tcPr>
            <w:tcW w:w="899" w:type="dxa"/>
            <w:tcBorders>
              <w:top w:val="single" w:sz="4" w:space="0" w:color="000000"/>
              <w:left w:val="single" w:sz="4" w:space="0" w:color="000000"/>
              <w:bottom w:val="single" w:sz="4" w:space="0" w:color="000000"/>
              <w:right w:val="single" w:sz="4" w:space="0" w:color="000000"/>
            </w:tcBorders>
          </w:tcPr>
          <w:p w14:paraId="5CC74E75" w14:textId="77777777" w:rsidR="00406B58" w:rsidRDefault="00000000">
            <w:pPr>
              <w:spacing w:after="0" w:line="259" w:lineRule="auto"/>
              <w:ind w:left="0" w:right="0" w:firstLine="0"/>
              <w:jc w:val="left"/>
            </w:pPr>
            <w:r>
              <w:rPr>
                <w:color w:val="000000"/>
              </w:rPr>
              <w:t xml:space="preserve">125 </w:t>
            </w:r>
          </w:p>
        </w:tc>
        <w:tc>
          <w:tcPr>
            <w:tcW w:w="1079" w:type="dxa"/>
            <w:tcBorders>
              <w:top w:val="single" w:sz="4" w:space="0" w:color="000000"/>
              <w:left w:val="single" w:sz="4" w:space="0" w:color="000000"/>
              <w:bottom w:val="single" w:sz="4" w:space="0" w:color="000000"/>
              <w:right w:val="single" w:sz="4" w:space="0" w:color="000000"/>
            </w:tcBorders>
          </w:tcPr>
          <w:p w14:paraId="6519D90C"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2BA89127" w14:textId="77777777" w:rsidR="00406B58" w:rsidRDefault="00000000">
            <w:pPr>
              <w:spacing w:after="0" w:line="259" w:lineRule="auto"/>
              <w:ind w:left="0" w:right="0" w:firstLine="0"/>
              <w:jc w:val="left"/>
            </w:pPr>
            <w:r>
              <w:rPr>
                <w:color w:val="000000"/>
              </w:rPr>
              <w:t xml:space="preserve">31.6 </w:t>
            </w:r>
          </w:p>
        </w:tc>
        <w:tc>
          <w:tcPr>
            <w:tcW w:w="1349" w:type="dxa"/>
            <w:tcBorders>
              <w:top w:val="single" w:sz="4" w:space="0" w:color="000000"/>
              <w:left w:val="single" w:sz="4" w:space="0" w:color="000000"/>
              <w:bottom w:val="single" w:sz="4" w:space="0" w:color="000000"/>
              <w:right w:val="single" w:sz="4" w:space="0" w:color="000000"/>
            </w:tcBorders>
          </w:tcPr>
          <w:p w14:paraId="7CD55F4E" w14:textId="77777777" w:rsidR="00406B58" w:rsidRDefault="00000000">
            <w:pPr>
              <w:spacing w:after="0" w:line="259" w:lineRule="auto"/>
              <w:ind w:left="0" w:right="0" w:firstLine="0"/>
              <w:jc w:val="left"/>
            </w:pPr>
            <w:r>
              <w:rPr>
                <w:color w:val="000000"/>
              </w:rPr>
              <w:t xml:space="preserve">998.56 </w:t>
            </w:r>
          </w:p>
        </w:tc>
        <w:tc>
          <w:tcPr>
            <w:tcW w:w="2112" w:type="dxa"/>
            <w:tcBorders>
              <w:top w:val="single" w:sz="4" w:space="0" w:color="000000"/>
              <w:left w:val="single" w:sz="4" w:space="0" w:color="000000"/>
              <w:bottom w:val="single" w:sz="4" w:space="0" w:color="000000"/>
              <w:right w:val="nil"/>
            </w:tcBorders>
          </w:tcPr>
          <w:p w14:paraId="20B620E2" w14:textId="77777777" w:rsidR="00406B58" w:rsidRDefault="00000000">
            <w:pPr>
              <w:spacing w:after="0" w:line="259" w:lineRule="auto"/>
              <w:ind w:left="496" w:right="0" w:firstLine="0"/>
              <w:jc w:val="center"/>
            </w:pPr>
            <w:r>
              <w:rPr>
                <w:color w:val="000000"/>
              </w:rPr>
              <w:t xml:space="preserve">10.7 </w:t>
            </w:r>
          </w:p>
        </w:tc>
        <w:tc>
          <w:tcPr>
            <w:tcW w:w="494" w:type="dxa"/>
            <w:tcBorders>
              <w:top w:val="single" w:sz="4" w:space="0" w:color="000000"/>
              <w:left w:val="nil"/>
              <w:bottom w:val="single" w:sz="4" w:space="0" w:color="000000"/>
              <w:right w:val="single" w:sz="4" w:space="0" w:color="000000"/>
            </w:tcBorders>
          </w:tcPr>
          <w:p w14:paraId="06184729" w14:textId="77777777" w:rsidR="00406B58" w:rsidRDefault="00406B58">
            <w:pPr>
              <w:spacing w:after="160" w:line="259" w:lineRule="auto"/>
              <w:ind w:left="0" w:right="0" w:firstLine="0"/>
              <w:jc w:val="left"/>
            </w:pPr>
          </w:p>
        </w:tc>
      </w:tr>
      <w:tr w:rsidR="00406B58" w14:paraId="52C1DFCF"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6C10DE96" w14:textId="77777777" w:rsidR="00406B58" w:rsidRDefault="00000000">
            <w:pPr>
              <w:spacing w:after="0" w:line="259" w:lineRule="auto"/>
              <w:ind w:left="0" w:right="0" w:firstLine="0"/>
              <w:jc w:val="left"/>
            </w:pPr>
            <w:r>
              <w:rPr>
                <w:color w:val="000000"/>
              </w:rPr>
              <w:t xml:space="preserve">2 </w:t>
            </w:r>
          </w:p>
        </w:tc>
        <w:tc>
          <w:tcPr>
            <w:tcW w:w="899" w:type="dxa"/>
            <w:tcBorders>
              <w:top w:val="single" w:sz="4" w:space="0" w:color="000000"/>
              <w:left w:val="single" w:sz="4" w:space="0" w:color="000000"/>
              <w:bottom w:val="single" w:sz="4" w:space="0" w:color="000000"/>
              <w:right w:val="single" w:sz="4" w:space="0" w:color="000000"/>
            </w:tcBorders>
          </w:tcPr>
          <w:p w14:paraId="5E380DF6" w14:textId="77777777" w:rsidR="00406B58" w:rsidRDefault="00000000">
            <w:pPr>
              <w:spacing w:after="0" w:line="259" w:lineRule="auto"/>
              <w:ind w:left="0" w:right="0" w:firstLine="0"/>
              <w:jc w:val="left"/>
            </w:pPr>
            <w:r>
              <w:rPr>
                <w:color w:val="000000"/>
              </w:rPr>
              <w:t xml:space="preserve">99 </w:t>
            </w:r>
          </w:p>
        </w:tc>
        <w:tc>
          <w:tcPr>
            <w:tcW w:w="1079" w:type="dxa"/>
            <w:tcBorders>
              <w:top w:val="single" w:sz="4" w:space="0" w:color="000000"/>
              <w:left w:val="single" w:sz="4" w:space="0" w:color="000000"/>
              <w:bottom w:val="single" w:sz="4" w:space="0" w:color="000000"/>
              <w:right w:val="single" w:sz="4" w:space="0" w:color="000000"/>
            </w:tcBorders>
          </w:tcPr>
          <w:p w14:paraId="277C7EBE"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6E1719D6" w14:textId="77777777" w:rsidR="00406B58" w:rsidRDefault="00000000">
            <w:pPr>
              <w:spacing w:after="0" w:line="259" w:lineRule="auto"/>
              <w:ind w:left="0" w:right="0" w:firstLine="0"/>
              <w:jc w:val="left"/>
            </w:pPr>
            <w:r>
              <w:rPr>
                <w:color w:val="000000"/>
              </w:rPr>
              <w:t xml:space="preserve">5.6 </w:t>
            </w:r>
          </w:p>
        </w:tc>
        <w:tc>
          <w:tcPr>
            <w:tcW w:w="1349" w:type="dxa"/>
            <w:tcBorders>
              <w:top w:val="single" w:sz="4" w:space="0" w:color="000000"/>
              <w:left w:val="single" w:sz="4" w:space="0" w:color="000000"/>
              <w:bottom w:val="single" w:sz="4" w:space="0" w:color="000000"/>
              <w:right w:val="single" w:sz="4" w:space="0" w:color="000000"/>
            </w:tcBorders>
          </w:tcPr>
          <w:p w14:paraId="07470648" w14:textId="77777777" w:rsidR="00406B58" w:rsidRDefault="00000000">
            <w:pPr>
              <w:spacing w:after="0" w:line="259" w:lineRule="auto"/>
              <w:ind w:left="0" w:right="0" w:firstLine="0"/>
              <w:jc w:val="left"/>
            </w:pPr>
            <w:r>
              <w:rPr>
                <w:color w:val="000000"/>
              </w:rPr>
              <w:t xml:space="preserve">31.36 </w:t>
            </w:r>
          </w:p>
        </w:tc>
        <w:tc>
          <w:tcPr>
            <w:tcW w:w="2112" w:type="dxa"/>
            <w:tcBorders>
              <w:top w:val="single" w:sz="4" w:space="0" w:color="000000"/>
              <w:left w:val="single" w:sz="4" w:space="0" w:color="000000"/>
              <w:bottom w:val="single" w:sz="4" w:space="0" w:color="000000"/>
              <w:right w:val="nil"/>
            </w:tcBorders>
          </w:tcPr>
          <w:p w14:paraId="4AC89C0C" w14:textId="77777777" w:rsidR="00406B58" w:rsidRDefault="00000000">
            <w:pPr>
              <w:spacing w:after="0" w:line="259" w:lineRule="auto"/>
              <w:ind w:left="496" w:right="0" w:firstLine="0"/>
              <w:jc w:val="center"/>
            </w:pPr>
            <w:r>
              <w:rPr>
                <w:color w:val="000000"/>
              </w:rPr>
              <w:t xml:space="preserve">0.32 </w:t>
            </w:r>
          </w:p>
        </w:tc>
        <w:tc>
          <w:tcPr>
            <w:tcW w:w="494" w:type="dxa"/>
            <w:tcBorders>
              <w:top w:val="single" w:sz="4" w:space="0" w:color="000000"/>
              <w:left w:val="nil"/>
              <w:bottom w:val="single" w:sz="4" w:space="0" w:color="000000"/>
              <w:right w:val="single" w:sz="4" w:space="0" w:color="000000"/>
            </w:tcBorders>
          </w:tcPr>
          <w:p w14:paraId="0D17526D" w14:textId="77777777" w:rsidR="00406B58" w:rsidRDefault="00406B58">
            <w:pPr>
              <w:spacing w:after="160" w:line="259" w:lineRule="auto"/>
              <w:ind w:left="0" w:right="0" w:firstLine="0"/>
              <w:jc w:val="left"/>
            </w:pPr>
          </w:p>
        </w:tc>
      </w:tr>
      <w:tr w:rsidR="00406B58" w14:paraId="32A78F7C" w14:textId="77777777">
        <w:trPr>
          <w:trHeight w:val="333"/>
        </w:trPr>
        <w:tc>
          <w:tcPr>
            <w:tcW w:w="894" w:type="dxa"/>
            <w:tcBorders>
              <w:top w:val="single" w:sz="4" w:space="0" w:color="000000"/>
              <w:left w:val="single" w:sz="4" w:space="0" w:color="000000"/>
              <w:bottom w:val="single" w:sz="4" w:space="0" w:color="000000"/>
              <w:right w:val="single" w:sz="4" w:space="0" w:color="000000"/>
            </w:tcBorders>
          </w:tcPr>
          <w:p w14:paraId="72B3FB96" w14:textId="77777777" w:rsidR="00406B58" w:rsidRDefault="00000000">
            <w:pPr>
              <w:spacing w:after="0" w:line="259" w:lineRule="auto"/>
              <w:ind w:left="0" w:right="0" w:firstLine="0"/>
              <w:jc w:val="left"/>
            </w:pPr>
            <w:r>
              <w:rPr>
                <w:color w:val="000000"/>
              </w:rPr>
              <w:t xml:space="preserve">3 </w:t>
            </w:r>
          </w:p>
        </w:tc>
        <w:tc>
          <w:tcPr>
            <w:tcW w:w="899" w:type="dxa"/>
            <w:tcBorders>
              <w:top w:val="single" w:sz="4" w:space="0" w:color="000000"/>
              <w:left w:val="single" w:sz="4" w:space="0" w:color="000000"/>
              <w:bottom w:val="single" w:sz="4" w:space="0" w:color="000000"/>
              <w:right w:val="single" w:sz="4" w:space="0" w:color="000000"/>
            </w:tcBorders>
          </w:tcPr>
          <w:p w14:paraId="7DC79F33" w14:textId="77777777" w:rsidR="00406B58" w:rsidRDefault="00000000">
            <w:pPr>
              <w:spacing w:after="0" w:line="259" w:lineRule="auto"/>
              <w:ind w:left="0" w:right="0" w:firstLine="0"/>
              <w:jc w:val="left"/>
            </w:pPr>
            <w:r>
              <w:rPr>
                <w:color w:val="000000"/>
              </w:rPr>
              <w:t xml:space="preserve">78 </w:t>
            </w:r>
          </w:p>
        </w:tc>
        <w:tc>
          <w:tcPr>
            <w:tcW w:w="1079" w:type="dxa"/>
            <w:tcBorders>
              <w:top w:val="single" w:sz="4" w:space="0" w:color="000000"/>
              <w:left w:val="single" w:sz="4" w:space="0" w:color="000000"/>
              <w:bottom w:val="single" w:sz="4" w:space="0" w:color="000000"/>
              <w:right w:val="single" w:sz="4" w:space="0" w:color="000000"/>
            </w:tcBorders>
          </w:tcPr>
          <w:p w14:paraId="6E337584"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47302AE2" w14:textId="77777777" w:rsidR="00406B58" w:rsidRDefault="00000000">
            <w:pPr>
              <w:spacing w:after="0" w:line="259" w:lineRule="auto"/>
              <w:ind w:left="0" w:right="0" w:firstLine="0"/>
              <w:jc w:val="left"/>
            </w:pPr>
            <w:r>
              <w:rPr>
                <w:color w:val="000000"/>
              </w:rPr>
              <w:t xml:space="preserve">-15.4 </w:t>
            </w:r>
          </w:p>
        </w:tc>
        <w:tc>
          <w:tcPr>
            <w:tcW w:w="1349" w:type="dxa"/>
            <w:tcBorders>
              <w:top w:val="single" w:sz="4" w:space="0" w:color="000000"/>
              <w:left w:val="single" w:sz="4" w:space="0" w:color="000000"/>
              <w:bottom w:val="single" w:sz="4" w:space="0" w:color="000000"/>
              <w:right w:val="single" w:sz="4" w:space="0" w:color="000000"/>
            </w:tcBorders>
          </w:tcPr>
          <w:p w14:paraId="1DEA0987" w14:textId="77777777" w:rsidR="00406B58" w:rsidRDefault="00000000">
            <w:pPr>
              <w:spacing w:after="0" w:line="259" w:lineRule="auto"/>
              <w:ind w:left="0" w:right="0" w:firstLine="0"/>
              <w:jc w:val="left"/>
            </w:pPr>
            <w:r>
              <w:rPr>
                <w:color w:val="000000"/>
              </w:rPr>
              <w:t xml:space="preserve">237.16 </w:t>
            </w:r>
          </w:p>
        </w:tc>
        <w:tc>
          <w:tcPr>
            <w:tcW w:w="2112" w:type="dxa"/>
            <w:tcBorders>
              <w:top w:val="single" w:sz="4" w:space="0" w:color="000000"/>
              <w:left w:val="single" w:sz="4" w:space="0" w:color="000000"/>
              <w:bottom w:val="single" w:sz="4" w:space="0" w:color="000000"/>
              <w:right w:val="nil"/>
            </w:tcBorders>
          </w:tcPr>
          <w:p w14:paraId="367C4953" w14:textId="77777777" w:rsidR="00406B58" w:rsidRDefault="00000000">
            <w:pPr>
              <w:spacing w:after="0" w:line="259" w:lineRule="auto"/>
              <w:ind w:left="496" w:right="0" w:firstLine="0"/>
              <w:jc w:val="center"/>
            </w:pPr>
            <w:r>
              <w:rPr>
                <w:color w:val="000000"/>
              </w:rPr>
              <w:t xml:space="preserve">3.04 </w:t>
            </w:r>
          </w:p>
        </w:tc>
        <w:tc>
          <w:tcPr>
            <w:tcW w:w="494" w:type="dxa"/>
            <w:tcBorders>
              <w:top w:val="single" w:sz="4" w:space="0" w:color="000000"/>
              <w:left w:val="nil"/>
              <w:bottom w:val="single" w:sz="4" w:space="0" w:color="000000"/>
              <w:right w:val="single" w:sz="4" w:space="0" w:color="000000"/>
            </w:tcBorders>
          </w:tcPr>
          <w:p w14:paraId="5915C15A" w14:textId="77777777" w:rsidR="00406B58" w:rsidRDefault="00406B58">
            <w:pPr>
              <w:spacing w:after="160" w:line="259" w:lineRule="auto"/>
              <w:ind w:left="0" w:right="0" w:firstLine="0"/>
              <w:jc w:val="left"/>
            </w:pPr>
          </w:p>
        </w:tc>
      </w:tr>
      <w:tr w:rsidR="00406B58" w14:paraId="53D1D82C"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61385033" w14:textId="77777777" w:rsidR="00406B58" w:rsidRDefault="00000000">
            <w:pPr>
              <w:spacing w:after="0" w:line="259" w:lineRule="auto"/>
              <w:ind w:left="0" w:right="0" w:firstLine="0"/>
              <w:jc w:val="left"/>
            </w:pPr>
            <w:r>
              <w:rPr>
                <w:color w:val="000000"/>
              </w:rPr>
              <w:t xml:space="preserve">4 </w:t>
            </w:r>
          </w:p>
        </w:tc>
        <w:tc>
          <w:tcPr>
            <w:tcW w:w="899" w:type="dxa"/>
            <w:tcBorders>
              <w:top w:val="single" w:sz="4" w:space="0" w:color="000000"/>
              <w:left w:val="single" w:sz="4" w:space="0" w:color="000000"/>
              <w:bottom w:val="single" w:sz="4" w:space="0" w:color="000000"/>
              <w:right w:val="single" w:sz="4" w:space="0" w:color="000000"/>
            </w:tcBorders>
          </w:tcPr>
          <w:p w14:paraId="4869B1A8" w14:textId="77777777" w:rsidR="00406B58" w:rsidRDefault="00000000">
            <w:pPr>
              <w:spacing w:after="0" w:line="259" w:lineRule="auto"/>
              <w:ind w:left="0" w:right="0" w:firstLine="0"/>
              <w:jc w:val="left"/>
            </w:pPr>
            <w:r>
              <w:rPr>
                <w:color w:val="000000"/>
              </w:rPr>
              <w:t xml:space="preserve">97 </w:t>
            </w:r>
          </w:p>
        </w:tc>
        <w:tc>
          <w:tcPr>
            <w:tcW w:w="1079" w:type="dxa"/>
            <w:tcBorders>
              <w:top w:val="single" w:sz="4" w:space="0" w:color="000000"/>
              <w:left w:val="single" w:sz="4" w:space="0" w:color="000000"/>
              <w:bottom w:val="single" w:sz="4" w:space="0" w:color="000000"/>
              <w:right w:val="single" w:sz="4" w:space="0" w:color="000000"/>
            </w:tcBorders>
          </w:tcPr>
          <w:p w14:paraId="19D160E9"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107F8D2F" w14:textId="77777777" w:rsidR="00406B58" w:rsidRDefault="00000000">
            <w:pPr>
              <w:spacing w:after="0" w:line="259" w:lineRule="auto"/>
              <w:ind w:left="0" w:right="0" w:firstLine="0"/>
              <w:jc w:val="left"/>
            </w:pPr>
            <w:r>
              <w:rPr>
                <w:color w:val="000000"/>
              </w:rPr>
              <w:t xml:space="preserve">3.6 </w:t>
            </w:r>
          </w:p>
        </w:tc>
        <w:tc>
          <w:tcPr>
            <w:tcW w:w="1349" w:type="dxa"/>
            <w:tcBorders>
              <w:top w:val="single" w:sz="4" w:space="0" w:color="000000"/>
              <w:left w:val="single" w:sz="4" w:space="0" w:color="000000"/>
              <w:bottom w:val="single" w:sz="4" w:space="0" w:color="000000"/>
              <w:right w:val="single" w:sz="4" w:space="0" w:color="000000"/>
            </w:tcBorders>
          </w:tcPr>
          <w:p w14:paraId="085802F1" w14:textId="77777777" w:rsidR="00406B58" w:rsidRDefault="00000000">
            <w:pPr>
              <w:spacing w:after="0" w:line="259" w:lineRule="auto"/>
              <w:ind w:left="0" w:right="0" w:firstLine="0"/>
              <w:jc w:val="left"/>
            </w:pPr>
            <w:r>
              <w:rPr>
                <w:color w:val="000000"/>
              </w:rPr>
              <w:t xml:space="preserve">12.96 </w:t>
            </w:r>
          </w:p>
        </w:tc>
        <w:tc>
          <w:tcPr>
            <w:tcW w:w="2112" w:type="dxa"/>
            <w:tcBorders>
              <w:top w:val="single" w:sz="4" w:space="0" w:color="000000"/>
              <w:left w:val="single" w:sz="4" w:space="0" w:color="000000"/>
              <w:bottom w:val="single" w:sz="4" w:space="0" w:color="000000"/>
              <w:right w:val="nil"/>
            </w:tcBorders>
          </w:tcPr>
          <w:p w14:paraId="33759A3D" w14:textId="77777777" w:rsidR="00406B58" w:rsidRDefault="00000000">
            <w:pPr>
              <w:spacing w:after="0" w:line="259" w:lineRule="auto"/>
              <w:ind w:left="496" w:right="0" w:firstLine="0"/>
              <w:jc w:val="center"/>
            </w:pPr>
            <w:r>
              <w:rPr>
                <w:color w:val="000000"/>
              </w:rPr>
              <w:t xml:space="preserve">0.13 </w:t>
            </w:r>
          </w:p>
        </w:tc>
        <w:tc>
          <w:tcPr>
            <w:tcW w:w="494" w:type="dxa"/>
            <w:tcBorders>
              <w:top w:val="single" w:sz="4" w:space="0" w:color="000000"/>
              <w:left w:val="nil"/>
              <w:bottom w:val="single" w:sz="4" w:space="0" w:color="000000"/>
              <w:right w:val="single" w:sz="4" w:space="0" w:color="000000"/>
            </w:tcBorders>
          </w:tcPr>
          <w:p w14:paraId="41AAE2F6" w14:textId="77777777" w:rsidR="00406B58" w:rsidRDefault="00406B58">
            <w:pPr>
              <w:spacing w:after="160" w:line="259" w:lineRule="auto"/>
              <w:ind w:left="0" w:right="0" w:firstLine="0"/>
              <w:jc w:val="left"/>
            </w:pPr>
          </w:p>
        </w:tc>
      </w:tr>
      <w:tr w:rsidR="00406B58" w14:paraId="6C2194C6"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345F03E6" w14:textId="77777777" w:rsidR="00406B58" w:rsidRDefault="00000000">
            <w:pPr>
              <w:spacing w:after="0" w:line="259" w:lineRule="auto"/>
              <w:ind w:left="0" w:right="0" w:firstLine="0"/>
              <w:jc w:val="left"/>
            </w:pPr>
            <w:r>
              <w:rPr>
                <w:color w:val="000000"/>
              </w:rPr>
              <w:t xml:space="preserve">5 </w:t>
            </w:r>
          </w:p>
        </w:tc>
        <w:tc>
          <w:tcPr>
            <w:tcW w:w="899" w:type="dxa"/>
            <w:tcBorders>
              <w:top w:val="single" w:sz="4" w:space="0" w:color="000000"/>
              <w:left w:val="single" w:sz="4" w:space="0" w:color="000000"/>
              <w:bottom w:val="single" w:sz="4" w:space="0" w:color="000000"/>
              <w:right w:val="single" w:sz="4" w:space="0" w:color="000000"/>
            </w:tcBorders>
          </w:tcPr>
          <w:p w14:paraId="3C256852" w14:textId="77777777" w:rsidR="00406B58" w:rsidRDefault="00000000">
            <w:pPr>
              <w:spacing w:after="0" w:line="259" w:lineRule="auto"/>
              <w:ind w:left="0" w:right="0" w:firstLine="0"/>
              <w:jc w:val="left"/>
            </w:pPr>
            <w:r>
              <w:rPr>
                <w:color w:val="000000"/>
              </w:rPr>
              <w:t xml:space="preserve">58 </w:t>
            </w:r>
          </w:p>
        </w:tc>
        <w:tc>
          <w:tcPr>
            <w:tcW w:w="1079" w:type="dxa"/>
            <w:tcBorders>
              <w:top w:val="single" w:sz="4" w:space="0" w:color="000000"/>
              <w:left w:val="single" w:sz="4" w:space="0" w:color="000000"/>
              <w:bottom w:val="single" w:sz="4" w:space="0" w:color="000000"/>
              <w:right w:val="single" w:sz="4" w:space="0" w:color="000000"/>
            </w:tcBorders>
          </w:tcPr>
          <w:p w14:paraId="021FDC7F"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1B5AAB49" w14:textId="77777777" w:rsidR="00406B58" w:rsidRDefault="00000000">
            <w:pPr>
              <w:spacing w:after="0" w:line="259" w:lineRule="auto"/>
              <w:ind w:left="0" w:right="0" w:firstLine="0"/>
              <w:jc w:val="left"/>
            </w:pPr>
            <w:r>
              <w:rPr>
                <w:color w:val="000000"/>
              </w:rPr>
              <w:t xml:space="preserve">-35.4 </w:t>
            </w:r>
          </w:p>
        </w:tc>
        <w:tc>
          <w:tcPr>
            <w:tcW w:w="1349" w:type="dxa"/>
            <w:tcBorders>
              <w:top w:val="single" w:sz="4" w:space="0" w:color="000000"/>
              <w:left w:val="single" w:sz="4" w:space="0" w:color="000000"/>
              <w:bottom w:val="single" w:sz="4" w:space="0" w:color="000000"/>
              <w:right w:val="single" w:sz="4" w:space="0" w:color="000000"/>
            </w:tcBorders>
          </w:tcPr>
          <w:p w14:paraId="0069DD60" w14:textId="77777777" w:rsidR="00406B58" w:rsidRDefault="00000000">
            <w:pPr>
              <w:spacing w:after="0" w:line="259" w:lineRule="auto"/>
              <w:ind w:left="0" w:right="0" w:firstLine="0"/>
              <w:jc w:val="left"/>
            </w:pPr>
            <w:r>
              <w:rPr>
                <w:color w:val="000000"/>
              </w:rPr>
              <w:t xml:space="preserve">1253.16 </w:t>
            </w:r>
          </w:p>
        </w:tc>
        <w:tc>
          <w:tcPr>
            <w:tcW w:w="2112" w:type="dxa"/>
            <w:tcBorders>
              <w:top w:val="single" w:sz="4" w:space="0" w:color="000000"/>
              <w:left w:val="single" w:sz="4" w:space="0" w:color="000000"/>
              <w:bottom w:val="single" w:sz="4" w:space="0" w:color="000000"/>
              <w:right w:val="nil"/>
            </w:tcBorders>
          </w:tcPr>
          <w:p w14:paraId="785E6BC9" w14:textId="77777777" w:rsidR="00406B58" w:rsidRDefault="00000000">
            <w:pPr>
              <w:spacing w:after="0" w:line="259" w:lineRule="auto"/>
              <w:ind w:left="496" w:right="0" w:firstLine="0"/>
              <w:jc w:val="center"/>
            </w:pPr>
            <w:r>
              <w:rPr>
                <w:color w:val="000000"/>
              </w:rPr>
              <w:t xml:space="preserve">21.61 </w:t>
            </w:r>
          </w:p>
        </w:tc>
        <w:tc>
          <w:tcPr>
            <w:tcW w:w="494" w:type="dxa"/>
            <w:tcBorders>
              <w:top w:val="single" w:sz="4" w:space="0" w:color="000000"/>
              <w:left w:val="nil"/>
              <w:bottom w:val="single" w:sz="4" w:space="0" w:color="000000"/>
              <w:right w:val="single" w:sz="4" w:space="0" w:color="000000"/>
            </w:tcBorders>
          </w:tcPr>
          <w:p w14:paraId="5959FBE6" w14:textId="77777777" w:rsidR="00406B58" w:rsidRDefault="00406B58">
            <w:pPr>
              <w:spacing w:after="160" w:line="259" w:lineRule="auto"/>
              <w:ind w:left="0" w:right="0" w:firstLine="0"/>
              <w:jc w:val="left"/>
            </w:pPr>
          </w:p>
        </w:tc>
      </w:tr>
      <w:tr w:rsidR="00406B58" w14:paraId="6C29F14A" w14:textId="77777777">
        <w:trPr>
          <w:trHeight w:val="288"/>
        </w:trPr>
        <w:tc>
          <w:tcPr>
            <w:tcW w:w="894" w:type="dxa"/>
            <w:tcBorders>
              <w:top w:val="single" w:sz="4" w:space="0" w:color="000000"/>
              <w:left w:val="single" w:sz="4" w:space="0" w:color="000000"/>
              <w:bottom w:val="single" w:sz="4" w:space="0" w:color="000000"/>
              <w:right w:val="single" w:sz="4" w:space="0" w:color="000000"/>
            </w:tcBorders>
          </w:tcPr>
          <w:p w14:paraId="5F55512F" w14:textId="77777777" w:rsidR="00406B58" w:rsidRDefault="00000000">
            <w:pPr>
              <w:spacing w:after="0" w:line="259" w:lineRule="auto"/>
              <w:ind w:left="0" w:right="0" w:firstLine="0"/>
              <w:jc w:val="left"/>
            </w:pPr>
            <w:r>
              <w:rPr>
                <w:color w:val="000000"/>
              </w:rPr>
              <w:t xml:space="preserve">6 </w:t>
            </w:r>
          </w:p>
        </w:tc>
        <w:tc>
          <w:tcPr>
            <w:tcW w:w="899" w:type="dxa"/>
            <w:tcBorders>
              <w:top w:val="single" w:sz="4" w:space="0" w:color="000000"/>
              <w:left w:val="single" w:sz="4" w:space="0" w:color="000000"/>
              <w:bottom w:val="single" w:sz="4" w:space="0" w:color="000000"/>
              <w:right w:val="single" w:sz="4" w:space="0" w:color="000000"/>
            </w:tcBorders>
          </w:tcPr>
          <w:p w14:paraId="67186F95" w14:textId="77777777" w:rsidR="00406B58" w:rsidRDefault="00000000">
            <w:pPr>
              <w:spacing w:after="0" w:line="259" w:lineRule="auto"/>
              <w:ind w:left="0" w:right="0" w:firstLine="0"/>
              <w:jc w:val="left"/>
            </w:pPr>
            <w:r>
              <w:rPr>
                <w:color w:val="000000"/>
              </w:rPr>
              <w:t xml:space="preserve">98 </w:t>
            </w:r>
          </w:p>
        </w:tc>
        <w:tc>
          <w:tcPr>
            <w:tcW w:w="1079" w:type="dxa"/>
            <w:tcBorders>
              <w:top w:val="single" w:sz="4" w:space="0" w:color="000000"/>
              <w:left w:val="single" w:sz="4" w:space="0" w:color="000000"/>
              <w:bottom w:val="single" w:sz="4" w:space="0" w:color="000000"/>
              <w:right w:val="single" w:sz="4" w:space="0" w:color="000000"/>
            </w:tcBorders>
          </w:tcPr>
          <w:p w14:paraId="2F7D9C78"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00E86C4F" w14:textId="77777777" w:rsidR="00406B58" w:rsidRDefault="00000000">
            <w:pPr>
              <w:spacing w:after="0" w:line="259" w:lineRule="auto"/>
              <w:ind w:left="0" w:right="0" w:firstLine="0"/>
              <w:jc w:val="left"/>
            </w:pPr>
            <w:r>
              <w:rPr>
                <w:color w:val="000000"/>
              </w:rPr>
              <w:t xml:space="preserve">4.6 </w:t>
            </w:r>
          </w:p>
        </w:tc>
        <w:tc>
          <w:tcPr>
            <w:tcW w:w="1349" w:type="dxa"/>
            <w:tcBorders>
              <w:top w:val="single" w:sz="4" w:space="0" w:color="000000"/>
              <w:left w:val="single" w:sz="4" w:space="0" w:color="000000"/>
              <w:bottom w:val="single" w:sz="4" w:space="0" w:color="000000"/>
              <w:right w:val="single" w:sz="4" w:space="0" w:color="000000"/>
            </w:tcBorders>
          </w:tcPr>
          <w:p w14:paraId="6F8FB577" w14:textId="77777777" w:rsidR="00406B58" w:rsidRDefault="00000000">
            <w:pPr>
              <w:spacing w:after="0" w:line="259" w:lineRule="auto"/>
              <w:ind w:left="0" w:right="0" w:firstLine="0"/>
              <w:jc w:val="left"/>
            </w:pPr>
            <w:r>
              <w:rPr>
                <w:color w:val="000000"/>
              </w:rPr>
              <w:t xml:space="preserve">21.16 </w:t>
            </w:r>
          </w:p>
        </w:tc>
        <w:tc>
          <w:tcPr>
            <w:tcW w:w="2112" w:type="dxa"/>
            <w:tcBorders>
              <w:top w:val="single" w:sz="4" w:space="0" w:color="000000"/>
              <w:left w:val="single" w:sz="4" w:space="0" w:color="000000"/>
              <w:bottom w:val="single" w:sz="4" w:space="0" w:color="000000"/>
              <w:right w:val="nil"/>
            </w:tcBorders>
          </w:tcPr>
          <w:p w14:paraId="77317ADB" w14:textId="77777777" w:rsidR="00406B58" w:rsidRDefault="00000000">
            <w:pPr>
              <w:spacing w:after="0" w:line="259" w:lineRule="auto"/>
              <w:ind w:left="496" w:right="0" w:firstLine="0"/>
              <w:jc w:val="center"/>
            </w:pPr>
            <w:r>
              <w:rPr>
                <w:color w:val="000000"/>
              </w:rPr>
              <w:t xml:space="preserve">0.22 </w:t>
            </w:r>
          </w:p>
        </w:tc>
        <w:tc>
          <w:tcPr>
            <w:tcW w:w="494" w:type="dxa"/>
            <w:tcBorders>
              <w:top w:val="single" w:sz="4" w:space="0" w:color="000000"/>
              <w:left w:val="nil"/>
              <w:bottom w:val="single" w:sz="4" w:space="0" w:color="000000"/>
              <w:right w:val="single" w:sz="4" w:space="0" w:color="000000"/>
            </w:tcBorders>
          </w:tcPr>
          <w:p w14:paraId="40432D34" w14:textId="77777777" w:rsidR="00406B58" w:rsidRDefault="00406B58">
            <w:pPr>
              <w:spacing w:after="160" w:line="259" w:lineRule="auto"/>
              <w:ind w:left="0" w:right="0" w:firstLine="0"/>
              <w:jc w:val="left"/>
            </w:pPr>
          </w:p>
        </w:tc>
      </w:tr>
      <w:tr w:rsidR="00406B58" w14:paraId="2FC01906"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201A9613" w14:textId="77777777" w:rsidR="00406B58" w:rsidRDefault="00000000">
            <w:pPr>
              <w:spacing w:after="0" w:line="259" w:lineRule="auto"/>
              <w:ind w:left="0" w:right="0" w:firstLine="0"/>
              <w:jc w:val="left"/>
            </w:pPr>
            <w:r>
              <w:rPr>
                <w:color w:val="000000"/>
              </w:rPr>
              <w:t xml:space="preserve">7 </w:t>
            </w:r>
          </w:p>
        </w:tc>
        <w:tc>
          <w:tcPr>
            <w:tcW w:w="899" w:type="dxa"/>
            <w:tcBorders>
              <w:top w:val="single" w:sz="4" w:space="0" w:color="000000"/>
              <w:left w:val="single" w:sz="4" w:space="0" w:color="000000"/>
              <w:bottom w:val="single" w:sz="4" w:space="0" w:color="000000"/>
              <w:right w:val="single" w:sz="4" w:space="0" w:color="000000"/>
            </w:tcBorders>
          </w:tcPr>
          <w:p w14:paraId="36FC29D9" w14:textId="77777777" w:rsidR="00406B58" w:rsidRDefault="00000000">
            <w:pPr>
              <w:spacing w:after="0" w:line="259" w:lineRule="auto"/>
              <w:ind w:left="0" w:right="0" w:firstLine="0"/>
              <w:jc w:val="left"/>
            </w:pPr>
            <w:r>
              <w:rPr>
                <w:color w:val="000000"/>
              </w:rPr>
              <w:t xml:space="preserve">103 </w:t>
            </w:r>
          </w:p>
        </w:tc>
        <w:tc>
          <w:tcPr>
            <w:tcW w:w="1079" w:type="dxa"/>
            <w:tcBorders>
              <w:top w:val="single" w:sz="4" w:space="0" w:color="000000"/>
              <w:left w:val="single" w:sz="4" w:space="0" w:color="000000"/>
              <w:bottom w:val="single" w:sz="4" w:space="0" w:color="000000"/>
              <w:right w:val="single" w:sz="4" w:space="0" w:color="000000"/>
            </w:tcBorders>
          </w:tcPr>
          <w:p w14:paraId="02DE4699"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24470A1D" w14:textId="77777777" w:rsidR="00406B58" w:rsidRDefault="00000000">
            <w:pPr>
              <w:spacing w:after="0" w:line="259" w:lineRule="auto"/>
              <w:ind w:left="0" w:right="0" w:firstLine="0"/>
              <w:jc w:val="left"/>
            </w:pPr>
            <w:r>
              <w:rPr>
                <w:color w:val="000000"/>
              </w:rPr>
              <w:t xml:space="preserve">9.6 </w:t>
            </w:r>
          </w:p>
        </w:tc>
        <w:tc>
          <w:tcPr>
            <w:tcW w:w="1349" w:type="dxa"/>
            <w:tcBorders>
              <w:top w:val="single" w:sz="4" w:space="0" w:color="000000"/>
              <w:left w:val="single" w:sz="4" w:space="0" w:color="000000"/>
              <w:bottom w:val="single" w:sz="4" w:space="0" w:color="000000"/>
              <w:right w:val="single" w:sz="4" w:space="0" w:color="000000"/>
            </w:tcBorders>
          </w:tcPr>
          <w:p w14:paraId="545BCCA8" w14:textId="77777777" w:rsidR="00406B58" w:rsidRDefault="00000000">
            <w:pPr>
              <w:spacing w:after="0" w:line="259" w:lineRule="auto"/>
              <w:ind w:left="0" w:right="0" w:firstLine="0"/>
              <w:jc w:val="left"/>
            </w:pPr>
            <w:r>
              <w:rPr>
                <w:color w:val="000000"/>
              </w:rPr>
              <w:t xml:space="preserve">92.16 </w:t>
            </w:r>
          </w:p>
        </w:tc>
        <w:tc>
          <w:tcPr>
            <w:tcW w:w="2112" w:type="dxa"/>
            <w:tcBorders>
              <w:top w:val="single" w:sz="4" w:space="0" w:color="000000"/>
              <w:left w:val="single" w:sz="4" w:space="0" w:color="000000"/>
              <w:bottom w:val="single" w:sz="4" w:space="0" w:color="000000"/>
              <w:right w:val="nil"/>
            </w:tcBorders>
          </w:tcPr>
          <w:p w14:paraId="60C73CDE" w14:textId="77777777" w:rsidR="00406B58" w:rsidRDefault="00000000">
            <w:pPr>
              <w:spacing w:after="0" w:line="259" w:lineRule="auto"/>
              <w:ind w:left="496" w:right="0" w:firstLine="0"/>
              <w:jc w:val="center"/>
            </w:pPr>
            <w:r>
              <w:rPr>
                <w:color w:val="000000"/>
              </w:rPr>
              <w:t xml:space="preserve">0.89 </w:t>
            </w:r>
          </w:p>
        </w:tc>
        <w:tc>
          <w:tcPr>
            <w:tcW w:w="494" w:type="dxa"/>
            <w:tcBorders>
              <w:top w:val="single" w:sz="4" w:space="0" w:color="000000"/>
              <w:left w:val="nil"/>
              <w:bottom w:val="single" w:sz="4" w:space="0" w:color="000000"/>
              <w:right w:val="single" w:sz="4" w:space="0" w:color="000000"/>
            </w:tcBorders>
          </w:tcPr>
          <w:p w14:paraId="567709CE" w14:textId="77777777" w:rsidR="00406B58" w:rsidRDefault="00406B58">
            <w:pPr>
              <w:spacing w:after="160" w:line="259" w:lineRule="auto"/>
              <w:ind w:left="0" w:right="0" w:firstLine="0"/>
              <w:jc w:val="left"/>
            </w:pPr>
          </w:p>
        </w:tc>
      </w:tr>
      <w:tr w:rsidR="00406B58" w14:paraId="6BDC278F"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778CD850" w14:textId="77777777" w:rsidR="00406B58" w:rsidRDefault="00000000">
            <w:pPr>
              <w:spacing w:after="0" w:line="259" w:lineRule="auto"/>
              <w:ind w:left="0" w:right="0" w:firstLine="0"/>
              <w:jc w:val="left"/>
            </w:pPr>
            <w:r>
              <w:rPr>
                <w:color w:val="000000"/>
              </w:rPr>
              <w:t xml:space="preserve">8 </w:t>
            </w:r>
          </w:p>
        </w:tc>
        <w:tc>
          <w:tcPr>
            <w:tcW w:w="899" w:type="dxa"/>
            <w:tcBorders>
              <w:top w:val="single" w:sz="4" w:space="0" w:color="000000"/>
              <w:left w:val="single" w:sz="4" w:space="0" w:color="000000"/>
              <w:bottom w:val="single" w:sz="4" w:space="0" w:color="000000"/>
              <w:right w:val="single" w:sz="4" w:space="0" w:color="000000"/>
            </w:tcBorders>
          </w:tcPr>
          <w:p w14:paraId="71536CCC" w14:textId="77777777" w:rsidR="00406B58" w:rsidRDefault="00000000">
            <w:pPr>
              <w:spacing w:after="0" w:line="259" w:lineRule="auto"/>
              <w:ind w:left="0" w:right="0" w:firstLine="0"/>
              <w:jc w:val="left"/>
            </w:pPr>
            <w:r>
              <w:rPr>
                <w:color w:val="000000"/>
              </w:rPr>
              <w:t xml:space="preserve">89 </w:t>
            </w:r>
          </w:p>
        </w:tc>
        <w:tc>
          <w:tcPr>
            <w:tcW w:w="1079" w:type="dxa"/>
            <w:tcBorders>
              <w:top w:val="single" w:sz="4" w:space="0" w:color="000000"/>
              <w:left w:val="single" w:sz="4" w:space="0" w:color="000000"/>
              <w:bottom w:val="single" w:sz="4" w:space="0" w:color="000000"/>
              <w:right w:val="single" w:sz="4" w:space="0" w:color="000000"/>
            </w:tcBorders>
          </w:tcPr>
          <w:p w14:paraId="2881B224" w14:textId="77777777" w:rsidR="00406B58" w:rsidRDefault="00000000">
            <w:pPr>
              <w:spacing w:after="0" w:line="259" w:lineRule="auto"/>
              <w:ind w:left="0" w:right="0" w:firstLine="0"/>
              <w:jc w:val="left"/>
            </w:pPr>
            <w:r>
              <w:rPr>
                <w:color w:val="000000"/>
              </w:rPr>
              <w:t xml:space="preserve">93.4 </w:t>
            </w:r>
          </w:p>
        </w:tc>
        <w:tc>
          <w:tcPr>
            <w:tcW w:w="1079" w:type="dxa"/>
            <w:tcBorders>
              <w:top w:val="single" w:sz="4" w:space="0" w:color="000000"/>
              <w:left w:val="single" w:sz="4" w:space="0" w:color="000000"/>
              <w:bottom w:val="single" w:sz="4" w:space="0" w:color="000000"/>
              <w:right w:val="single" w:sz="4" w:space="0" w:color="000000"/>
            </w:tcBorders>
          </w:tcPr>
          <w:p w14:paraId="129BD570" w14:textId="77777777" w:rsidR="00406B58" w:rsidRDefault="00000000">
            <w:pPr>
              <w:spacing w:after="0" w:line="259" w:lineRule="auto"/>
              <w:ind w:left="0" w:right="0" w:firstLine="0"/>
              <w:jc w:val="left"/>
            </w:pPr>
            <w:r>
              <w:rPr>
                <w:color w:val="000000"/>
              </w:rPr>
              <w:t xml:space="preserve">-4.4 </w:t>
            </w:r>
          </w:p>
        </w:tc>
        <w:tc>
          <w:tcPr>
            <w:tcW w:w="1349" w:type="dxa"/>
            <w:tcBorders>
              <w:top w:val="single" w:sz="4" w:space="0" w:color="000000"/>
              <w:left w:val="single" w:sz="4" w:space="0" w:color="000000"/>
              <w:bottom w:val="single" w:sz="4" w:space="0" w:color="000000"/>
              <w:right w:val="single" w:sz="4" w:space="0" w:color="000000"/>
            </w:tcBorders>
          </w:tcPr>
          <w:p w14:paraId="7F57F2AA" w14:textId="77777777" w:rsidR="00406B58" w:rsidRDefault="00000000">
            <w:pPr>
              <w:spacing w:after="0" w:line="259" w:lineRule="auto"/>
              <w:ind w:left="0" w:right="0" w:firstLine="0"/>
              <w:jc w:val="left"/>
            </w:pPr>
            <w:r>
              <w:rPr>
                <w:color w:val="000000"/>
              </w:rPr>
              <w:t xml:space="preserve">19.36 </w:t>
            </w:r>
          </w:p>
        </w:tc>
        <w:tc>
          <w:tcPr>
            <w:tcW w:w="2112" w:type="dxa"/>
            <w:tcBorders>
              <w:top w:val="single" w:sz="4" w:space="0" w:color="000000"/>
              <w:left w:val="single" w:sz="4" w:space="0" w:color="000000"/>
              <w:bottom w:val="single" w:sz="4" w:space="0" w:color="000000"/>
              <w:right w:val="nil"/>
            </w:tcBorders>
          </w:tcPr>
          <w:p w14:paraId="6C0560D0" w14:textId="77777777" w:rsidR="00406B58" w:rsidRDefault="00000000">
            <w:pPr>
              <w:spacing w:after="0" w:line="259" w:lineRule="auto"/>
              <w:ind w:left="496" w:right="0" w:firstLine="0"/>
              <w:jc w:val="center"/>
            </w:pPr>
            <w:r>
              <w:rPr>
                <w:color w:val="000000"/>
              </w:rPr>
              <w:t xml:space="preserve">0.22 </w:t>
            </w:r>
          </w:p>
        </w:tc>
        <w:tc>
          <w:tcPr>
            <w:tcW w:w="494" w:type="dxa"/>
            <w:tcBorders>
              <w:top w:val="single" w:sz="4" w:space="0" w:color="000000"/>
              <w:left w:val="nil"/>
              <w:bottom w:val="single" w:sz="4" w:space="0" w:color="000000"/>
              <w:right w:val="single" w:sz="4" w:space="0" w:color="000000"/>
            </w:tcBorders>
          </w:tcPr>
          <w:p w14:paraId="255FEB8C" w14:textId="77777777" w:rsidR="00406B58" w:rsidRDefault="00406B58">
            <w:pPr>
              <w:spacing w:after="160" w:line="259" w:lineRule="auto"/>
              <w:ind w:left="0" w:right="0" w:firstLine="0"/>
              <w:jc w:val="left"/>
            </w:pPr>
          </w:p>
        </w:tc>
      </w:tr>
      <w:tr w:rsidR="00406B58" w14:paraId="12FE27A9"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77E680A6" w14:textId="77777777" w:rsidR="00406B58" w:rsidRDefault="00000000">
            <w:pPr>
              <w:spacing w:after="0" w:line="259" w:lineRule="auto"/>
              <w:ind w:left="0" w:right="0" w:firstLine="0"/>
              <w:jc w:val="left"/>
            </w:pPr>
            <w:r>
              <w:rPr>
                <w:color w:val="000000"/>
              </w:rPr>
              <w:t xml:space="preserve">9 </w:t>
            </w:r>
          </w:p>
        </w:tc>
        <w:tc>
          <w:tcPr>
            <w:tcW w:w="899" w:type="dxa"/>
            <w:tcBorders>
              <w:top w:val="single" w:sz="4" w:space="0" w:color="000000"/>
              <w:left w:val="single" w:sz="4" w:space="0" w:color="000000"/>
              <w:bottom w:val="single" w:sz="4" w:space="0" w:color="000000"/>
              <w:right w:val="single" w:sz="4" w:space="0" w:color="000000"/>
            </w:tcBorders>
          </w:tcPr>
          <w:p w14:paraId="60E24921" w14:textId="77777777" w:rsidR="00406B58" w:rsidRDefault="00000000">
            <w:pPr>
              <w:spacing w:after="0" w:line="259" w:lineRule="auto"/>
              <w:ind w:left="0" w:right="0" w:firstLine="0"/>
              <w:jc w:val="left"/>
            </w:pPr>
            <w:r>
              <w:rPr>
                <w:color w:val="000000"/>
              </w:rPr>
              <w:t xml:space="preserve">25 </w:t>
            </w:r>
          </w:p>
        </w:tc>
        <w:tc>
          <w:tcPr>
            <w:tcW w:w="1079" w:type="dxa"/>
            <w:tcBorders>
              <w:top w:val="single" w:sz="4" w:space="0" w:color="000000"/>
              <w:left w:val="single" w:sz="4" w:space="0" w:color="000000"/>
              <w:bottom w:val="single" w:sz="4" w:space="0" w:color="000000"/>
              <w:right w:val="single" w:sz="4" w:space="0" w:color="000000"/>
            </w:tcBorders>
          </w:tcPr>
          <w:p w14:paraId="641C5552"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2E021EEE" w14:textId="77777777" w:rsidR="00406B58" w:rsidRDefault="00000000">
            <w:pPr>
              <w:spacing w:after="0" w:line="259" w:lineRule="auto"/>
              <w:ind w:left="0" w:right="0" w:firstLine="0"/>
              <w:jc w:val="left"/>
            </w:pPr>
            <w:r>
              <w:rPr>
                <w:color w:val="000000"/>
              </w:rPr>
              <w:t xml:space="preserve">-34.6 </w:t>
            </w:r>
          </w:p>
        </w:tc>
        <w:tc>
          <w:tcPr>
            <w:tcW w:w="1349" w:type="dxa"/>
            <w:tcBorders>
              <w:top w:val="single" w:sz="4" w:space="0" w:color="000000"/>
              <w:left w:val="single" w:sz="4" w:space="0" w:color="000000"/>
              <w:bottom w:val="single" w:sz="4" w:space="0" w:color="000000"/>
              <w:right w:val="single" w:sz="4" w:space="0" w:color="000000"/>
            </w:tcBorders>
          </w:tcPr>
          <w:p w14:paraId="226958C5" w14:textId="77777777" w:rsidR="00406B58" w:rsidRDefault="00000000">
            <w:pPr>
              <w:spacing w:after="0" w:line="259" w:lineRule="auto"/>
              <w:ind w:left="0" w:right="0" w:firstLine="0"/>
              <w:jc w:val="left"/>
            </w:pPr>
            <w:r>
              <w:rPr>
                <w:color w:val="000000"/>
              </w:rPr>
              <w:t xml:space="preserve">1197.16 </w:t>
            </w:r>
          </w:p>
        </w:tc>
        <w:tc>
          <w:tcPr>
            <w:tcW w:w="2112" w:type="dxa"/>
            <w:tcBorders>
              <w:top w:val="single" w:sz="4" w:space="0" w:color="000000"/>
              <w:left w:val="single" w:sz="4" w:space="0" w:color="000000"/>
              <w:bottom w:val="single" w:sz="4" w:space="0" w:color="000000"/>
              <w:right w:val="nil"/>
            </w:tcBorders>
          </w:tcPr>
          <w:p w14:paraId="3E7F3BE8" w14:textId="77777777" w:rsidR="00406B58" w:rsidRDefault="00000000">
            <w:pPr>
              <w:spacing w:after="0" w:line="259" w:lineRule="auto"/>
              <w:ind w:left="496" w:right="0" w:firstLine="0"/>
              <w:jc w:val="center"/>
            </w:pPr>
            <w:r>
              <w:rPr>
                <w:color w:val="000000"/>
              </w:rPr>
              <w:t xml:space="preserve">47.89 </w:t>
            </w:r>
          </w:p>
        </w:tc>
        <w:tc>
          <w:tcPr>
            <w:tcW w:w="494" w:type="dxa"/>
            <w:tcBorders>
              <w:top w:val="single" w:sz="4" w:space="0" w:color="000000"/>
              <w:left w:val="nil"/>
              <w:bottom w:val="single" w:sz="4" w:space="0" w:color="000000"/>
              <w:right w:val="single" w:sz="4" w:space="0" w:color="000000"/>
            </w:tcBorders>
          </w:tcPr>
          <w:p w14:paraId="322A11EB" w14:textId="77777777" w:rsidR="00406B58" w:rsidRDefault="00406B58">
            <w:pPr>
              <w:spacing w:after="160" w:line="259" w:lineRule="auto"/>
              <w:ind w:left="0" w:right="0" w:firstLine="0"/>
              <w:jc w:val="left"/>
            </w:pPr>
          </w:p>
        </w:tc>
      </w:tr>
      <w:tr w:rsidR="00406B58" w14:paraId="69F9433D"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3B443637" w14:textId="77777777" w:rsidR="00406B58" w:rsidRDefault="00000000">
            <w:pPr>
              <w:spacing w:after="0" w:line="259" w:lineRule="auto"/>
              <w:ind w:left="0" w:right="0" w:firstLine="0"/>
              <w:jc w:val="left"/>
            </w:pPr>
            <w:r>
              <w:rPr>
                <w:color w:val="000000"/>
              </w:rPr>
              <w:t xml:space="preserve">10 </w:t>
            </w:r>
          </w:p>
        </w:tc>
        <w:tc>
          <w:tcPr>
            <w:tcW w:w="899" w:type="dxa"/>
            <w:tcBorders>
              <w:top w:val="single" w:sz="4" w:space="0" w:color="000000"/>
              <w:left w:val="single" w:sz="4" w:space="0" w:color="000000"/>
              <w:bottom w:val="single" w:sz="4" w:space="0" w:color="000000"/>
              <w:right w:val="single" w:sz="4" w:space="0" w:color="000000"/>
            </w:tcBorders>
          </w:tcPr>
          <w:p w14:paraId="42E0C22F" w14:textId="77777777" w:rsidR="00406B58" w:rsidRDefault="00000000">
            <w:pPr>
              <w:spacing w:after="0" w:line="259" w:lineRule="auto"/>
              <w:ind w:left="0" w:right="0" w:firstLine="0"/>
              <w:jc w:val="left"/>
            </w:pPr>
            <w:r>
              <w:rPr>
                <w:color w:val="000000"/>
              </w:rPr>
              <w:t xml:space="preserve">51 </w:t>
            </w:r>
          </w:p>
        </w:tc>
        <w:tc>
          <w:tcPr>
            <w:tcW w:w="1079" w:type="dxa"/>
            <w:tcBorders>
              <w:top w:val="single" w:sz="4" w:space="0" w:color="000000"/>
              <w:left w:val="single" w:sz="4" w:space="0" w:color="000000"/>
              <w:bottom w:val="single" w:sz="4" w:space="0" w:color="000000"/>
              <w:right w:val="single" w:sz="4" w:space="0" w:color="000000"/>
            </w:tcBorders>
          </w:tcPr>
          <w:p w14:paraId="4386559F"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138F98B8" w14:textId="77777777" w:rsidR="00406B58" w:rsidRDefault="00000000">
            <w:pPr>
              <w:spacing w:after="0" w:line="259" w:lineRule="auto"/>
              <w:ind w:left="0" w:right="0" w:firstLine="0"/>
              <w:jc w:val="left"/>
            </w:pPr>
            <w:r>
              <w:rPr>
                <w:color w:val="000000"/>
              </w:rPr>
              <w:t xml:space="preserve">-5.6 </w:t>
            </w:r>
          </w:p>
        </w:tc>
        <w:tc>
          <w:tcPr>
            <w:tcW w:w="1349" w:type="dxa"/>
            <w:tcBorders>
              <w:top w:val="single" w:sz="4" w:space="0" w:color="000000"/>
              <w:left w:val="single" w:sz="4" w:space="0" w:color="000000"/>
              <w:bottom w:val="single" w:sz="4" w:space="0" w:color="000000"/>
              <w:right w:val="single" w:sz="4" w:space="0" w:color="000000"/>
            </w:tcBorders>
          </w:tcPr>
          <w:p w14:paraId="06E28A29" w14:textId="77777777" w:rsidR="00406B58" w:rsidRDefault="00000000">
            <w:pPr>
              <w:spacing w:after="0" w:line="259" w:lineRule="auto"/>
              <w:ind w:left="0" w:right="0" w:firstLine="0"/>
              <w:jc w:val="left"/>
            </w:pPr>
            <w:r>
              <w:rPr>
                <w:color w:val="000000"/>
              </w:rPr>
              <w:t xml:space="preserve">31.36 </w:t>
            </w:r>
          </w:p>
        </w:tc>
        <w:tc>
          <w:tcPr>
            <w:tcW w:w="2112" w:type="dxa"/>
            <w:tcBorders>
              <w:top w:val="single" w:sz="4" w:space="0" w:color="000000"/>
              <w:left w:val="single" w:sz="4" w:space="0" w:color="000000"/>
              <w:bottom w:val="single" w:sz="4" w:space="0" w:color="000000"/>
              <w:right w:val="nil"/>
            </w:tcBorders>
          </w:tcPr>
          <w:p w14:paraId="3BDB0D07" w14:textId="77777777" w:rsidR="00406B58" w:rsidRDefault="00000000">
            <w:pPr>
              <w:spacing w:after="0" w:line="259" w:lineRule="auto"/>
              <w:ind w:left="496" w:right="0" w:firstLine="0"/>
              <w:jc w:val="center"/>
            </w:pPr>
            <w:r>
              <w:rPr>
                <w:color w:val="000000"/>
              </w:rPr>
              <w:t xml:space="preserve">0.61 </w:t>
            </w:r>
          </w:p>
        </w:tc>
        <w:tc>
          <w:tcPr>
            <w:tcW w:w="494" w:type="dxa"/>
            <w:tcBorders>
              <w:top w:val="single" w:sz="4" w:space="0" w:color="000000"/>
              <w:left w:val="nil"/>
              <w:bottom w:val="single" w:sz="4" w:space="0" w:color="000000"/>
              <w:right w:val="single" w:sz="4" w:space="0" w:color="000000"/>
            </w:tcBorders>
          </w:tcPr>
          <w:p w14:paraId="5D8F9FFB" w14:textId="77777777" w:rsidR="00406B58" w:rsidRDefault="00406B58">
            <w:pPr>
              <w:spacing w:after="160" w:line="259" w:lineRule="auto"/>
              <w:ind w:left="0" w:right="0" w:firstLine="0"/>
              <w:jc w:val="left"/>
            </w:pPr>
          </w:p>
        </w:tc>
      </w:tr>
      <w:tr w:rsidR="00406B58" w14:paraId="5AA3667B"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1A9559F2" w14:textId="77777777" w:rsidR="00406B58" w:rsidRDefault="00000000">
            <w:pPr>
              <w:spacing w:after="0" w:line="259" w:lineRule="auto"/>
              <w:ind w:left="0" w:right="0" w:firstLine="0"/>
              <w:jc w:val="left"/>
            </w:pPr>
            <w:r>
              <w:rPr>
                <w:color w:val="000000"/>
              </w:rPr>
              <w:t xml:space="preserve">11 </w:t>
            </w:r>
          </w:p>
        </w:tc>
        <w:tc>
          <w:tcPr>
            <w:tcW w:w="899" w:type="dxa"/>
            <w:tcBorders>
              <w:top w:val="single" w:sz="4" w:space="0" w:color="000000"/>
              <w:left w:val="single" w:sz="4" w:space="0" w:color="000000"/>
              <w:bottom w:val="single" w:sz="4" w:space="0" w:color="000000"/>
              <w:right w:val="single" w:sz="4" w:space="0" w:color="000000"/>
            </w:tcBorders>
          </w:tcPr>
          <w:p w14:paraId="6EA86A22" w14:textId="77777777" w:rsidR="00406B58" w:rsidRDefault="00000000">
            <w:pPr>
              <w:spacing w:after="0" w:line="259" w:lineRule="auto"/>
              <w:ind w:left="0" w:right="0" w:firstLine="0"/>
              <w:jc w:val="left"/>
            </w:pPr>
            <w:r>
              <w:rPr>
                <w:color w:val="000000"/>
              </w:rPr>
              <w:t xml:space="preserve">72 </w:t>
            </w:r>
          </w:p>
        </w:tc>
        <w:tc>
          <w:tcPr>
            <w:tcW w:w="1079" w:type="dxa"/>
            <w:tcBorders>
              <w:top w:val="single" w:sz="4" w:space="0" w:color="000000"/>
              <w:left w:val="single" w:sz="4" w:space="0" w:color="000000"/>
              <w:bottom w:val="single" w:sz="4" w:space="0" w:color="000000"/>
              <w:right w:val="single" w:sz="4" w:space="0" w:color="000000"/>
            </w:tcBorders>
          </w:tcPr>
          <w:p w14:paraId="4DFC96A8"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6E2C920E" w14:textId="77777777" w:rsidR="00406B58" w:rsidRDefault="00000000">
            <w:pPr>
              <w:spacing w:after="0" w:line="259" w:lineRule="auto"/>
              <w:ind w:left="0" w:right="0" w:firstLine="0"/>
              <w:jc w:val="left"/>
            </w:pPr>
            <w:r>
              <w:rPr>
                <w:color w:val="000000"/>
              </w:rPr>
              <w:t xml:space="preserve">15.4 </w:t>
            </w:r>
          </w:p>
        </w:tc>
        <w:tc>
          <w:tcPr>
            <w:tcW w:w="1349" w:type="dxa"/>
            <w:tcBorders>
              <w:top w:val="single" w:sz="4" w:space="0" w:color="000000"/>
              <w:left w:val="single" w:sz="4" w:space="0" w:color="000000"/>
              <w:bottom w:val="single" w:sz="4" w:space="0" w:color="000000"/>
              <w:right w:val="single" w:sz="4" w:space="0" w:color="000000"/>
            </w:tcBorders>
          </w:tcPr>
          <w:p w14:paraId="3EEC19EC" w14:textId="77777777" w:rsidR="00406B58" w:rsidRDefault="00000000">
            <w:pPr>
              <w:spacing w:after="0" w:line="259" w:lineRule="auto"/>
              <w:ind w:left="0" w:right="0" w:firstLine="0"/>
              <w:jc w:val="left"/>
            </w:pPr>
            <w:r>
              <w:rPr>
                <w:color w:val="000000"/>
              </w:rPr>
              <w:t xml:space="preserve">237.16 </w:t>
            </w:r>
          </w:p>
        </w:tc>
        <w:tc>
          <w:tcPr>
            <w:tcW w:w="2112" w:type="dxa"/>
            <w:tcBorders>
              <w:top w:val="single" w:sz="4" w:space="0" w:color="000000"/>
              <w:left w:val="single" w:sz="4" w:space="0" w:color="000000"/>
              <w:bottom w:val="single" w:sz="4" w:space="0" w:color="000000"/>
              <w:right w:val="nil"/>
            </w:tcBorders>
          </w:tcPr>
          <w:p w14:paraId="02AB4FE0" w14:textId="77777777" w:rsidR="00406B58" w:rsidRDefault="00000000">
            <w:pPr>
              <w:spacing w:after="0" w:line="259" w:lineRule="auto"/>
              <w:ind w:left="496" w:right="0" w:firstLine="0"/>
              <w:jc w:val="center"/>
            </w:pPr>
            <w:r>
              <w:rPr>
                <w:color w:val="000000"/>
              </w:rPr>
              <w:t xml:space="preserve">3.29 </w:t>
            </w:r>
          </w:p>
        </w:tc>
        <w:tc>
          <w:tcPr>
            <w:tcW w:w="494" w:type="dxa"/>
            <w:tcBorders>
              <w:top w:val="single" w:sz="4" w:space="0" w:color="000000"/>
              <w:left w:val="nil"/>
              <w:bottom w:val="single" w:sz="4" w:space="0" w:color="000000"/>
              <w:right w:val="single" w:sz="4" w:space="0" w:color="000000"/>
            </w:tcBorders>
          </w:tcPr>
          <w:p w14:paraId="0123EF63" w14:textId="77777777" w:rsidR="00406B58" w:rsidRDefault="00406B58">
            <w:pPr>
              <w:spacing w:after="160" w:line="259" w:lineRule="auto"/>
              <w:ind w:left="0" w:right="0" w:firstLine="0"/>
              <w:jc w:val="left"/>
            </w:pPr>
          </w:p>
        </w:tc>
      </w:tr>
      <w:tr w:rsidR="00406B58" w14:paraId="18513154" w14:textId="77777777">
        <w:trPr>
          <w:trHeight w:val="288"/>
        </w:trPr>
        <w:tc>
          <w:tcPr>
            <w:tcW w:w="894" w:type="dxa"/>
            <w:tcBorders>
              <w:top w:val="single" w:sz="4" w:space="0" w:color="000000"/>
              <w:left w:val="single" w:sz="4" w:space="0" w:color="000000"/>
              <w:bottom w:val="single" w:sz="4" w:space="0" w:color="000000"/>
              <w:right w:val="single" w:sz="4" w:space="0" w:color="000000"/>
            </w:tcBorders>
          </w:tcPr>
          <w:p w14:paraId="499F7264" w14:textId="77777777" w:rsidR="00406B58" w:rsidRDefault="00000000">
            <w:pPr>
              <w:spacing w:after="0" w:line="259" w:lineRule="auto"/>
              <w:ind w:left="0" w:right="0" w:firstLine="0"/>
              <w:jc w:val="left"/>
            </w:pPr>
            <w:r>
              <w:rPr>
                <w:color w:val="000000"/>
              </w:rPr>
              <w:t xml:space="preserve">12 </w:t>
            </w:r>
          </w:p>
        </w:tc>
        <w:tc>
          <w:tcPr>
            <w:tcW w:w="899" w:type="dxa"/>
            <w:tcBorders>
              <w:top w:val="single" w:sz="4" w:space="0" w:color="000000"/>
              <w:left w:val="single" w:sz="4" w:space="0" w:color="000000"/>
              <w:bottom w:val="single" w:sz="4" w:space="0" w:color="000000"/>
              <w:right w:val="single" w:sz="4" w:space="0" w:color="000000"/>
            </w:tcBorders>
          </w:tcPr>
          <w:p w14:paraId="04F43AC7" w14:textId="77777777" w:rsidR="00406B58" w:rsidRDefault="00000000">
            <w:pPr>
              <w:spacing w:after="0" w:line="259" w:lineRule="auto"/>
              <w:ind w:left="0" w:right="0" w:firstLine="0"/>
              <w:jc w:val="left"/>
            </w:pPr>
            <w:r>
              <w:rPr>
                <w:color w:val="000000"/>
              </w:rPr>
              <w:t xml:space="preserve">53 </w:t>
            </w:r>
          </w:p>
        </w:tc>
        <w:tc>
          <w:tcPr>
            <w:tcW w:w="1079" w:type="dxa"/>
            <w:tcBorders>
              <w:top w:val="single" w:sz="4" w:space="0" w:color="000000"/>
              <w:left w:val="single" w:sz="4" w:space="0" w:color="000000"/>
              <w:bottom w:val="single" w:sz="4" w:space="0" w:color="000000"/>
              <w:right w:val="single" w:sz="4" w:space="0" w:color="000000"/>
            </w:tcBorders>
          </w:tcPr>
          <w:p w14:paraId="287F8C9B"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4041E582" w14:textId="77777777" w:rsidR="00406B58" w:rsidRDefault="00000000">
            <w:pPr>
              <w:spacing w:after="0" w:line="259" w:lineRule="auto"/>
              <w:ind w:left="0" w:right="0" w:firstLine="0"/>
              <w:jc w:val="left"/>
            </w:pPr>
            <w:r>
              <w:rPr>
                <w:color w:val="000000"/>
              </w:rPr>
              <w:t xml:space="preserve">-3.6 </w:t>
            </w:r>
          </w:p>
        </w:tc>
        <w:tc>
          <w:tcPr>
            <w:tcW w:w="1349" w:type="dxa"/>
            <w:tcBorders>
              <w:top w:val="single" w:sz="4" w:space="0" w:color="000000"/>
              <w:left w:val="single" w:sz="4" w:space="0" w:color="000000"/>
              <w:bottom w:val="single" w:sz="4" w:space="0" w:color="000000"/>
              <w:right w:val="single" w:sz="4" w:space="0" w:color="000000"/>
            </w:tcBorders>
          </w:tcPr>
          <w:p w14:paraId="3B0E85D7" w14:textId="77777777" w:rsidR="00406B58" w:rsidRDefault="00000000">
            <w:pPr>
              <w:spacing w:after="0" w:line="259" w:lineRule="auto"/>
              <w:ind w:left="0" w:right="0" w:firstLine="0"/>
              <w:jc w:val="left"/>
            </w:pPr>
            <w:r>
              <w:rPr>
                <w:color w:val="000000"/>
              </w:rPr>
              <w:t xml:space="preserve">12.96 </w:t>
            </w:r>
          </w:p>
        </w:tc>
        <w:tc>
          <w:tcPr>
            <w:tcW w:w="2112" w:type="dxa"/>
            <w:tcBorders>
              <w:top w:val="single" w:sz="4" w:space="0" w:color="000000"/>
              <w:left w:val="single" w:sz="4" w:space="0" w:color="000000"/>
              <w:bottom w:val="single" w:sz="4" w:space="0" w:color="000000"/>
              <w:right w:val="nil"/>
            </w:tcBorders>
          </w:tcPr>
          <w:p w14:paraId="37316C3D" w14:textId="77777777" w:rsidR="00406B58" w:rsidRDefault="00000000">
            <w:pPr>
              <w:spacing w:after="0" w:line="259" w:lineRule="auto"/>
              <w:ind w:left="496" w:right="0" w:firstLine="0"/>
              <w:jc w:val="center"/>
            </w:pPr>
            <w:r>
              <w:rPr>
                <w:color w:val="000000"/>
              </w:rPr>
              <w:t xml:space="preserve">0.24 </w:t>
            </w:r>
          </w:p>
        </w:tc>
        <w:tc>
          <w:tcPr>
            <w:tcW w:w="494" w:type="dxa"/>
            <w:tcBorders>
              <w:top w:val="single" w:sz="4" w:space="0" w:color="000000"/>
              <w:left w:val="nil"/>
              <w:bottom w:val="single" w:sz="4" w:space="0" w:color="000000"/>
              <w:right w:val="single" w:sz="4" w:space="0" w:color="000000"/>
            </w:tcBorders>
          </w:tcPr>
          <w:p w14:paraId="7E121F8C" w14:textId="77777777" w:rsidR="00406B58" w:rsidRDefault="00406B58">
            <w:pPr>
              <w:spacing w:after="160" w:line="259" w:lineRule="auto"/>
              <w:ind w:left="0" w:right="0" w:firstLine="0"/>
              <w:jc w:val="left"/>
            </w:pPr>
          </w:p>
        </w:tc>
      </w:tr>
      <w:tr w:rsidR="00406B58" w14:paraId="6D08002F"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7DDE138B" w14:textId="77777777" w:rsidR="00406B58" w:rsidRDefault="00000000">
            <w:pPr>
              <w:spacing w:after="0" w:line="259" w:lineRule="auto"/>
              <w:ind w:left="0" w:right="0" w:firstLine="0"/>
              <w:jc w:val="left"/>
            </w:pPr>
            <w:r>
              <w:rPr>
                <w:color w:val="000000"/>
              </w:rPr>
              <w:t xml:space="preserve">13 </w:t>
            </w:r>
          </w:p>
        </w:tc>
        <w:tc>
          <w:tcPr>
            <w:tcW w:w="899" w:type="dxa"/>
            <w:tcBorders>
              <w:top w:val="single" w:sz="4" w:space="0" w:color="000000"/>
              <w:left w:val="single" w:sz="4" w:space="0" w:color="000000"/>
              <w:bottom w:val="single" w:sz="4" w:space="0" w:color="000000"/>
              <w:right w:val="single" w:sz="4" w:space="0" w:color="000000"/>
            </w:tcBorders>
          </w:tcPr>
          <w:p w14:paraId="4BA0A5E5" w14:textId="77777777" w:rsidR="00406B58" w:rsidRDefault="00000000">
            <w:pPr>
              <w:spacing w:after="0" w:line="259" w:lineRule="auto"/>
              <w:ind w:left="0" w:right="0" w:firstLine="0"/>
              <w:jc w:val="left"/>
            </w:pPr>
            <w:r>
              <w:rPr>
                <w:color w:val="000000"/>
              </w:rPr>
              <w:t xml:space="preserve">92 </w:t>
            </w:r>
          </w:p>
        </w:tc>
        <w:tc>
          <w:tcPr>
            <w:tcW w:w="1079" w:type="dxa"/>
            <w:tcBorders>
              <w:top w:val="single" w:sz="4" w:space="0" w:color="000000"/>
              <w:left w:val="single" w:sz="4" w:space="0" w:color="000000"/>
              <w:bottom w:val="single" w:sz="4" w:space="0" w:color="000000"/>
              <w:right w:val="single" w:sz="4" w:space="0" w:color="000000"/>
            </w:tcBorders>
          </w:tcPr>
          <w:p w14:paraId="6D091955"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111DB53D" w14:textId="77777777" w:rsidR="00406B58" w:rsidRDefault="00000000">
            <w:pPr>
              <w:spacing w:after="0" w:line="259" w:lineRule="auto"/>
              <w:ind w:left="0" w:right="0" w:firstLine="0"/>
              <w:jc w:val="left"/>
            </w:pPr>
            <w:r>
              <w:rPr>
                <w:color w:val="000000"/>
              </w:rPr>
              <w:t xml:space="preserve">35.4 </w:t>
            </w:r>
          </w:p>
        </w:tc>
        <w:tc>
          <w:tcPr>
            <w:tcW w:w="1349" w:type="dxa"/>
            <w:tcBorders>
              <w:top w:val="single" w:sz="4" w:space="0" w:color="000000"/>
              <w:left w:val="single" w:sz="4" w:space="0" w:color="000000"/>
              <w:bottom w:val="single" w:sz="4" w:space="0" w:color="000000"/>
              <w:right w:val="single" w:sz="4" w:space="0" w:color="000000"/>
            </w:tcBorders>
          </w:tcPr>
          <w:p w14:paraId="3BBE933E" w14:textId="77777777" w:rsidR="00406B58" w:rsidRDefault="00000000">
            <w:pPr>
              <w:spacing w:after="0" w:line="259" w:lineRule="auto"/>
              <w:ind w:left="0" w:right="0" w:firstLine="0"/>
              <w:jc w:val="left"/>
            </w:pPr>
            <w:r>
              <w:rPr>
                <w:color w:val="000000"/>
              </w:rPr>
              <w:t xml:space="preserve">1253.16 </w:t>
            </w:r>
          </w:p>
        </w:tc>
        <w:tc>
          <w:tcPr>
            <w:tcW w:w="2112" w:type="dxa"/>
            <w:tcBorders>
              <w:top w:val="single" w:sz="4" w:space="0" w:color="000000"/>
              <w:left w:val="single" w:sz="4" w:space="0" w:color="000000"/>
              <w:bottom w:val="single" w:sz="4" w:space="0" w:color="000000"/>
              <w:right w:val="nil"/>
            </w:tcBorders>
          </w:tcPr>
          <w:p w14:paraId="19238033" w14:textId="77777777" w:rsidR="00406B58" w:rsidRDefault="00000000">
            <w:pPr>
              <w:spacing w:after="0" w:line="259" w:lineRule="auto"/>
              <w:ind w:left="496" w:right="0" w:firstLine="0"/>
              <w:jc w:val="center"/>
            </w:pPr>
            <w:r>
              <w:rPr>
                <w:color w:val="000000"/>
              </w:rPr>
              <w:t xml:space="preserve">13.62 </w:t>
            </w:r>
          </w:p>
        </w:tc>
        <w:tc>
          <w:tcPr>
            <w:tcW w:w="494" w:type="dxa"/>
            <w:tcBorders>
              <w:top w:val="single" w:sz="4" w:space="0" w:color="000000"/>
              <w:left w:val="nil"/>
              <w:bottom w:val="single" w:sz="4" w:space="0" w:color="000000"/>
              <w:right w:val="single" w:sz="4" w:space="0" w:color="000000"/>
            </w:tcBorders>
          </w:tcPr>
          <w:p w14:paraId="01F9F3BB" w14:textId="77777777" w:rsidR="00406B58" w:rsidRDefault="00406B58">
            <w:pPr>
              <w:spacing w:after="160" w:line="259" w:lineRule="auto"/>
              <w:ind w:left="0" w:right="0" w:firstLine="0"/>
              <w:jc w:val="left"/>
            </w:pPr>
          </w:p>
        </w:tc>
      </w:tr>
      <w:tr w:rsidR="00406B58" w14:paraId="7004ACAF"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66FBEE34" w14:textId="77777777" w:rsidR="00406B58" w:rsidRDefault="00000000">
            <w:pPr>
              <w:spacing w:after="0" w:line="259" w:lineRule="auto"/>
              <w:ind w:left="0" w:right="0" w:firstLine="0"/>
              <w:jc w:val="left"/>
            </w:pPr>
            <w:r>
              <w:rPr>
                <w:color w:val="000000"/>
              </w:rPr>
              <w:t xml:space="preserve">14 </w:t>
            </w:r>
          </w:p>
        </w:tc>
        <w:tc>
          <w:tcPr>
            <w:tcW w:w="899" w:type="dxa"/>
            <w:tcBorders>
              <w:top w:val="single" w:sz="4" w:space="0" w:color="000000"/>
              <w:left w:val="single" w:sz="4" w:space="0" w:color="000000"/>
              <w:bottom w:val="single" w:sz="4" w:space="0" w:color="000000"/>
              <w:right w:val="single" w:sz="4" w:space="0" w:color="000000"/>
            </w:tcBorders>
          </w:tcPr>
          <w:p w14:paraId="69EE3DA5" w14:textId="77777777" w:rsidR="00406B58" w:rsidRDefault="00000000">
            <w:pPr>
              <w:spacing w:after="0" w:line="259" w:lineRule="auto"/>
              <w:ind w:left="0" w:right="0" w:firstLine="0"/>
              <w:jc w:val="left"/>
            </w:pPr>
            <w:r>
              <w:rPr>
                <w:color w:val="000000"/>
              </w:rPr>
              <w:t xml:space="preserve">52 </w:t>
            </w:r>
          </w:p>
        </w:tc>
        <w:tc>
          <w:tcPr>
            <w:tcW w:w="1079" w:type="dxa"/>
            <w:tcBorders>
              <w:top w:val="single" w:sz="4" w:space="0" w:color="000000"/>
              <w:left w:val="single" w:sz="4" w:space="0" w:color="000000"/>
              <w:bottom w:val="single" w:sz="4" w:space="0" w:color="000000"/>
              <w:right w:val="single" w:sz="4" w:space="0" w:color="000000"/>
            </w:tcBorders>
          </w:tcPr>
          <w:p w14:paraId="73BFCD56"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203559C0" w14:textId="77777777" w:rsidR="00406B58" w:rsidRDefault="00000000">
            <w:pPr>
              <w:spacing w:after="0" w:line="259" w:lineRule="auto"/>
              <w:ind w:left="0" w:right="0" w:firstLine="0"/>
              <w:jc w:val="left"/>
            </w:pPr>
            <w:r>
              <w:rPr>
                <w:color w:val="000000"/>
              </w:rPr>
              <w:t xml:space="preserve">-4.6 </w:t>
            </w:r>
          </w:p>
        </w:tc>
        <w:tc>
          <w:tcPr>
            <w:tcW w:w="1349" w:type="dxa"/>
            <w:tcBorders>
              <w:top w:val="single" w:sz="4" w:space="0" w:color="000000"/>
              <w:left w:val="single" w:sz="4" w:space="0" w:color="000000"/>
              <w:bottom w:val="single" w:sz="4" w:space="0" w:color="000000"/>
              <w:right w:val="single" w:sz="4" w:space="0" w:color="000000"/>
            </w:tcBorders>
          </w:tcPr>
          <w:p w14:paraId="39C0D7D1" w14:textId="77777777" w:rsidR="00406B58" w:rsidRDefault="00000000">
            <w:pPr>
              <w:spacing w:after="0" w:line="259" w:lineRule="auto"/>
              <w:ind w:left="0" w:right="0" w:firstLine="0"/>
              <w:jc w:val="left"/>
            </w:pPr>
            <w:r>
              <w:rPr>
                <w:color w:val="000000"/>
              </w:rPr>
              <w:t xml:space="preserve">21.16 </w:t>
            </w:r>
          </w:p>
        </w:tc>
        <w:tc>
          <w:tcPr>
            <w:tcW w:w="2112" w:type="dxa"/>
            <w:tcBorders>
              <w:top w:val="single" w:sz="4" w:space="0" w:color="000000"/>
              <w:left w:val="single" w:sz="4" w:space="0" w:color="000000"/>
              <w:bottom w:val="single" w:sz="4" w:space="0" w:color="000000"/>
              <w:right w:val="nil"/>
            </w:tcBorders>
          </w:tcPr>
          <w:p w14:paraId="36244830" w14:textId="77777777" w:rsidR="00406B58" w:rsidRDefault="00000000">
            <w:pPr>
              <w:spacing w:after="0" w:line="259" w:lineRule="auto"/>
              <w:ind w:left="496" w:right="0" w:firstLine="0"/>
              <w:jc w:val="center"/>
            </w:pPr>
            <w:r>
              <w:rPr>
                <w:color w:val="000000"/>
              </w:rPr>
              <w:t xml:space="preserve">0.41 </w:t>
            </w:r>
          </w:p>
        </w:tc>
        <w:tc>
          <w:tcPr>
            <w:tcW w:w="494" w:type="dxa"/>
            <w:tcBorders>
              <w:top w:val="single" w:sz="4" w:space="0" w:color="000000"/>
              <w:left w:val="nil"/>
              <w:bottom w:val="single" w:sz="4" w:space="0" w:color="000000"/>
              <w:right w:val="single" w:sz="4" w:space="0" w:color="000000"/>
            </w:tcBorders>
          </w:tcPr>
          <w:p w14:paraId="28F23C6B" w14:textId="77777777" w:rsidR="00406B58" w:rsidRDefault="00406B58">
            <w:pPr>
              <w:spacing w:after="160" w:line="259" w:lineRule="auto"/>
              <w:ind w:left="0" w:right="0" w:firstLine="0"/>
              <w:jc w:val="left"/>
            </w:pPr>
          </w:p>
        </w:tc>
      </w:tr>
      <w:tr w:rsidR="00406B58" w14:paraId="3BA1654C"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7E61B147" w14:textId="77777777" w:rsidR="00406B58" w:rsidRDefault="00000000">
            <w:pPr>
              <w:spacing w:after="0" w:line="259" w:lineRule="auto"/>
              <w:ind w:left="0" w:right="0" w:firstLine="0"/>
              <w:jc w:val="left"/>
            </w:pPr>
            <w:r>
              <w:rPr>
                <w:color w:val="000000"/>
              </w:rPr>
              <w:t xml:space="preserve">15 </w:t>
            </w:r>
          </w:p>
        </w:tc>
        <w:tc>
          <w:tcPr>
            <w:tcW w:w="899" w:type="dxa"/>
            <w:tcBorders>
              <w:top w:val="single" w:sz="4" w:space="0" w:color="000000"/>
              <w:left w:val="single" w:sz="4" w:space="0" w:color="000000"/>
              <w:bottom w:val="single" w:sz="4" w:space="0" w:color="000000"/>
              <w:right w:val="single" w:sz="4" w:space="0" w:color="000000"/>
            </w:tcBorders>
          </w:tcPr>
          <w:p w14:paraId="04DAECCE" w14:textId="77777777" w:rsidR="00406B58" w:rsidRDefault="00000000">
            <w:pPr>
              <w:spacing w:after="0" w:line="259" w:lineRule="auto"/>
              <w:ind w:left="0" w:right="0" w:firstLine="0"/>
              <w:jc w:val="left"/>
            </w:pPr>
            <w:r>
              <w:rPr>
                <w:color w:val="000000"/>
              </w:rPr>
              <w:t xml:space="preserve">47 </w:t>
            </w:r>
          </w:p>
        </w:tc>
        <w:tc>
          <w:tcPr>
            <w:tcW w:w="1079" w:type="dxa"/>
            <w:tcBorders>
              <w:top w:val="single" w:sz="4" w:space="0" w:color="000000"/>
              <w:left w:val="single" w:sz="4" w:space="0" w:color="000000"/>
              <w:bottom w:val="single" w:sz="4" w:space="0" w:color="000000"/>
              <w:right w:val="single" w:sz="4" w:space="0" w:color="000000"/>
            </w:tcBorders>
          </w:tcPr>
          <w:p w14:paraId="5DBB3FA0"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7384BE14" w14:textId="77777777" w:rsidR="00406B58" w:rsidRDefault="00000000">
            <w:pPr>
              <w:spacing w:after="0" w:line="259" w:lineRule="auto"/>
              <w:ind w:left="0" w:right="0" w:firstLine="0"/>
              <w:jc w:val="left"/>
            </w:pPr>
            <w:r>
              <w:rPr>
                <w:color w:val="000000"/>
              </w:rPr>
              <w:t xml:space="preserve">-9.6 </w:t>
            </w:r>
          </w:p>
        </w:tc>
        <w:tc>
          <w:tcPr>
            <w:tcW w:w="1349" w:type="dxa"/>
            <w:tcBorders>
              <w:top w:val="single" w:sz="4" w:space="0" w:color="000000"/>
              <w:left w:val="single" w:sz="4" w:space="0" w:color="000000"/>
              <w:bottom w:val="single" w:sz="4" w:space="0" w:color="000000"/>
              <w:right w:val="single" w:sz="4" w:space="0" w:color="000000"/>
            </w:tcBorders>
          </w:tcPr>
          <w:p w14:paraId="467D071E" w14:textId="77777777" w:rsidR="00406B58" w:rsidRDefault="00000000">
            <w:pPr>
              <w:spacing w:after="0" w:line="259" w:lineRule="auto"/>
              <w:ind w:left="0" w:right="0" w:firstLine="0"/>
              <w:jc w:val="left"/>
            </w:pPr>
            <w:r>
              <w:rPr>
                <w:color w:val="000000"/>
              </w:rPr>
              <w:t xml:space="preserve">92.16 </w:t>
            </w:r>
          </w:p>
        </w:tc>
        <w:tc>
          <w:tcPr>
            <w:tcW w:w="2112" w:type="dxa"/>
            <w:tcBorders>
              <w:top w:val="single" w:sz="4" w:space="0" w:color="000000"/>
              <w:left w:val="single" w:sz="4" w:space="0" w:color="000000"/>
              <w:bottom w:val="single" w:sz="4" w:space="0" w:color="000000"/>
              <w:right w:val="nil"/>
            </w:tcBorders>
          </w:tcPr>
          <w:p w14:paraId="4586DB7F" w14:textId="77777777" w:rsidR="00406B58" w:rsidRDefault="00000000">
            <w:pPr>
              <w:spacing w:after="0" w:line="259" w:lineRule="auto"/>
              <w:ind w:left="496" w:right="0" w:firstLine="0"/>
              <w:jc w:val="center"/>
            </w:pPr>
            <w:r>
              <w:rPr>
                <w:color w:val="000000"/>
              </w:rPr>
              <w:t xml:space="preserve">1.96 </w:t>
            </w:r>
          </w:p>
        </w:tc>
        <w:tc>
          <w:tcPr>
            <w:tcW w:w="494" w:type="dxa"/>
            <w:tcBorders>
              <w:top w:val="single" w:sz="4" w:space="0" w:color="000000"/>
              <w:left w:val="nil"/>
              <w:bottom w:val="single" w:sz="4" w:space="0" w:color="000000"/>
              <w:right w:val="single" w:sz="4" w:space="0" w:color="000000"/>
            </w:tcBorders>
          </w:tcPr>
          <w:p w14:paraId="619F698E" w14:textId="77777777" w:rsidR="00406B58" w:rsidRDefault="00406B58">
            <w:pPr>
              <w:spacing w:after="160" w:line="259" w:lineRule="auto"/>
              <w:ind w:left="0" w:right="0" w:firstLine="0"/>
              <w:jc w:val="left"/>
            </w:pPr>
          </w:p>
        </w:tc>
      </w:tr>
      <w:tr w:rsidR="00406B58" w14:paraId="69972BE2"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39B7DFFD" w14:textId="77777777" w:rsidR="00406B58" w:rsidRDefault="00000000">
            <w:pPr>
              <w:spacing w:after="0" w:line="259" w:lineRule="auto"/>
              <w:ind w:left="0" w:right="0" w:firstLine="0"/>
              <w:jc w:val="left"/>
            </w:pPr>
            <w:r>
              <w:rPr>
                <w:color w:val="000000"/>
              </w:rPr>
              <w:t xml:space="preserve">16 </w:t>
            </w:r>
          </w:p>
        </w:tc>
        <w:tc>
          <w:tcPr>
            <w:tcW w:w="899" w:type="dxa"/>
            <w:tcBorders>
              <w:top w:val="single" w:sz="4" w:space="0" w:color="000000"/>
              <w:left w:val="single" w:sz="4" w:space="0" w:color="000000"/>
              <w:bottom w:val="single" w:sz="4" w:space="0" w:color="000000"/>
              <w:right w:val="single" w:sz="4" w:space="0" w:color="000000"/>
            </w:tcBorders>
          </w:tcPr>
          <w:p w14:paraId="5E18BC68" w14:textId="77777777" w:rsidR="00406B58" w:rsidRDefault="00000000">
            <w:pPr>
              <w:spacing w:after="0" w:line="259" w:lineRule="auto"/>
              <w:ind w:left="0" w:right="0" w:firstLine="0"/>
              <w:jc w:val="left"/>
            </w:pPr>
            <w:r>
              <w:rPr>
                <w:color w:val="000000"/>
              </w:rPr>
              <w:t xml:space="preserve">61 </w:t>
            </w:r>
          </w:p>
        </w:tc>
        <w:tc>
          <w:tcPr>
            <w:tcW w:w="1079" w:type="dxa"/>
            <w:tcBorders>
              <w:top w:val="single" w:sz="4" w:space="0" w:color="000000"/>
              <w:left w:val="single" w:sz="4" w:space="0" w:color="000000"/>
              <w:bottom w:val="single" w:sz="4" w:space="0" w:color="000000"/>
              <w:right w:val="single" w:sz="4" w:space="0" w:color="000000"/>
            </w:tcBorders>
          </w:tcPr>
          <w:p w14:paraId="7600D744" w14:textId="77777777" w:rsidR="00406B58" w:rsidRDefault="00000000">
            <w:pPr>
              <w:spacing w:after="0" w:line="259" w:lineRule="auto"/>
              <w:ind w:left="0" w:right="0" w:firstLine="0"/>
              <w:jc w:val="left"/>
            </w:pPr>
            <w:r>
              <w:rPr>
                <w:color w:val="000000"/>
              </w:rPr>
              <w:t xml:space="preserve">56.6 </w:t>
            </w:r>
          </w:p>
        </w:tc>
        <w:tc>
          <w:tcPr>
            <w:tcW w:w="1079" w:type="dxa"/>
            <w:tcBorders>
              <w:top w:val="single" w:sz="4" w:space="0" w:color="000000"/>
              <w:left w:val="single" w:sz="4" w:space="0" w:color="000000"/>
              <w:bottom w:val="single" w:sz="4" w:space="0" w:color="000000"/>
              <w:right w:val="single" w:sz="4" w:space="0" w:color="000000"/>
            </w:tcBorders>
          </w:tcPr>
          <w:p w14:paraId="194F44B7" w14:textId="77777777" w:rsidR="00406B58" w:rsidRDefault="00000000">
            <w:pPr>
              <w:spacing w:after="0" w:line="259" w:lineRule="auto"/>
              <w:ind w:left="0" w:right="0" w:firstLine="0"/>
              <w:jc w:val="left"/>
            </w:pPr>
            <w:r>
              <w:rPr>
                <w:color w:val="000000"/>
              </w:rPr>
              <w:t xml:space="preserve">4.4 </w:t>
            </w:r>
          </w:p>
        </w:tc>
        <w:tc>
          <w:tcPr>
            <w:tcW w:w="1349" w:type="dxa"/>
            <w:tcBorders>
              <w:top w:val="single" w:sz="4" w:space="0" w:color="000000"/>
              <w:left w:val="single" w:sz="4" w:space="0" w:color="000000"/>
              <w:bottom w:val="single" w:sz="4" w:space="0" w:color="000000"/>
              <w:right w:val="single" w:sz="4" w:space="0" w:color="000000"/>
            </w:tcBorders>
          </w:tcPr>
          <w:p w14:paraId="110BE172" w14:textId="77777777" w:rsidR="00406B58" w:rsidRDefault="00000000">
            <w:pPr>
              <w:spacing w:after="0" w:line="259" w:lineRule="auto"/>
              <w:ind w:left="0" w:right="0" w:firstLine="0"/>
              <w:jc w:val="left"/>
            </w:pPr>
            <w:r>
              <w:rPr>
                <w:color w:val="000000"/>
              </w:rPr>
              <w:t xml:space="preserve">19.36 </w:t>
            </w:r>
          </w:p>
        </w:tc>
        <w:tc>
          <w:tcPr>
            <w:tcW w:w="2112" w:type="dxa"/>
            <w:tcBorders>
              <w:top w:val="single" w:sz="4" w:space="0" w:color="000000"/>
              <w:left w:val="single" w:sz="4" w:space="0" w:color="000000"/>
              <w:bottom w:val="single" w:sz="4" w:space="0" w:color="000000"/>
              <w:right w:val="nil"/>
            </w:tcBorders>
          </w:tcPr>
          <w:p w14:paraId="0FD49866" w14:textId="77777777" w:rsidR="00406B58" w:rsidRDefault="00000000">
            <w:pPr>
              <w:spacing w:after="0" w:line="259" w:lineRule="auto"/>
              <w:ind w:left="496" w:right="0" w:firstLine="0"/>
              <w:jc w:val="center"/>
            </w:pPr>
            <w:r>
              <w:rPr>
                <w:color w:val="000000"/>
              </w:rPr>
              <w:t xml:space="preserve">0.32 </w:t>
            </w:r>
          </w:p>
        </w:tc>
        <w:tc>
          <w:tcPr>
            <w:tcW w:w="494" w:type="dxa"/>
            <w:tcBorders>
              <w:top w:val="single" w:sz="4" w:space="0" w:color="000000"/>
              <w:left w:val="nil"/>
              <w:bottom w:val="single" w:sz="4" w:space="0" w:color="000000"/>
              <w:right w:val="single" w:sz="4" w:space="0" w:color="000000"/>
            </w:tcBorders>
          </w:tcPr>
          <w:p w14:paraId="69E74D8E" w14:textId="77777777" w:rsidR="00406B58" w:rsidRDefault="00406B58">
            <w:pPr>
              <w:spacing w:after="160" w:line="259" w:lineRule="auto"/>
              <w:ind w:left="0" w:right="0" w:firstLine="0"/>
              <w:jc w:val="left"/>
            </w:pPr>
          </w:p>
        </w:tc>
      </w:tr>
      <w:tr w:rsidR="00406B58" w14:paraId="5854B01E" w14:textId="77777777">
        <w:trPr>
          <w:trHeight w:val="285"/>
        </w:trPr>
        <w:tc>
          <w:tcPr>
            <w:tcW w:w="894" w:type="dxa"/>
            <w:tcBorders>
              <w:top w:val="single" w:sz="4" w:space="0" w:color="000000"/>
              <w:left w:val="single" w:sz="4" w:space="0" w:color="000000"/>
              <w:bottom w:val="single" w:sz="4" w:space="0" w:color="000000"/>
              <w:right w:val="single" w:sz="4" w:space="0" w:color="000000"/>
            </w:tcBorders>
          </w:tcPr>
          <w:p w14:paraId="677B5B22" w14:textId="77777777" w:rsidR="00406B58" w:rsidRDefault="00000000">
            <w:pPr>
              <w:spacing w:after="0" w:line="259" w:lineRule="auto"/>
              <w:ind w:left="0" w:right="0" w:firstLine="0"/>
              <w:jc w:val="left"/>
            </w:pPr>
            <w:r>
              <w:rPr>
                <w:color w:val="00000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26425FC" w14:textId="77777777" w:rsidR="00406B58" w:rsidRDefault="00000000">
            <w:pPr>
              <w:spacing w:after="0" w:line="259" w:lineRule="auto"/>
              <w:ind w:left="0" w:right="0" w:firstLine="0"/>
              <w:jc w:val="left"/>
            </w:pPr>
            <w:r>
              <w:rPr>
                <w:color w:val="000000"/>
              </w:rPr>
              <w:t xml:space="preserve">1200 </w:t>
            </w:r>
          </w:p>
        </w:tc>
        <w:tc>
          <w:tcPr>
            <w:tcW w:w="1079" w:type="dxa"/>
            <w:tcBorders>
              <w:top w:val="single" w:sz="4" w:space="0" w:color="000000"/>
              <w:left w:val="single" w:sz="4" w:space="0" w:color="000000"/>
              <w:bottom w:val="single" w:sz="4" w:space="0" w:color="000000"/>
              <w:right w:val="single" w:sz="4" w:space="0" w:color="000000"/>
            </w:tcBorders>
          </w:tcPr>
          <w:p w14:paraId="5711E6F9" w14:textId="77777777" w:rsidR="00406B58" w:rsidRDefault="00000000">
            <w:pPr>
              <w:spacing w:after="0" w:line="259" w:lineRule="auto"/>
              <w:ind w:left="0" w:right="0" w:firstLine="0"/>
              <w:jc w:val="left"/>
            </w:pPr>
            <w:r>
              <w:rPr>
                <w:color w:val="00000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4D6C1AA" w14:textId="77777777" w:rsidR="00406B58" w:rsidRDefault="00000000">
            <w:pPr>
              <w:spacing w:after="0" w:line="259" w:lineRule="auto"/>
              <w:ind w:left="0" w:right="0" w:firstLine="0"/>
              <w:jc w:val="left"/>
            </w:pPr>
            <w:r>
              <w:rPr>
                <w:color w:val="000000"/>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DD0741F" w14:textId="77777777" w:rsidR="00406B58" w:rsidRDefault="00000000">
            <w:pPr>
              <w:spacing w:after="0" w:line="259" w:lineRule="auto"/>
              <w:ind w:left="0" w:right="0" w:firstLine="0"/>
              <w:jc w:val="left"/>
            </w:pPr>
            <w:r>
              <w:rPr>
                <w:color w:val="000000"/>
              </w:rPr>
              <w:t xml:space="preserve"> </w:t>
            </w:r>
          </w:p>
        </w:tc>
        <w:tc>
          <w:tcPr>
            <w:tcW w:w="2112" w:type="dxa"/>
            <w:tcBorders>
              <w:top w:val="single" w:sz="4" w:space="0" w:color="000000"/>
              <w:left w:val="single" w:sz="4" w:space="0" w:color="000000"/>
              <w:bottom w:val="single" w:sz="4" w:space="0" w:color="000000"/>
              <w:right w:val="nil"/>
            </w:tcBorders>
          </w:tcPr>
          <w:p w14:paraId="6103892D" w14:textId="77777777" w:rsidR="00406B58" w:rsidRDefault="00000000">
            <w:pPr>
              <w:spacing w:after="0" w:line="259" w:lineRule="auto"/>
              <w:ind w:left="863" w:right="0" w:firstLine="0"/>
              <w:jc w:val="left"/>
            </w:pPr>
            <w:r>
              <w:rPr>
                <w:color w:val="000000"/>
              </w:rPr>
              <w:t xml:space="preserve">105.47 </w:t>
            </w:r>
          </w:p>
        </w:tc>
        <w:tc>
          <w:tcPr>
            <w:tcW w:w="494" w:type="dxa"/>
            <w:tcBorders>
              <w:top w:val="single" w:sz="4" w:space="0" w:color="000000"/>
              <w:left w:val="nil"/>
              <w:bottom w:val="single" w:sz="4" w:space="0" w:color="000000"/>
              <w:right w:val="single" w:sz="4" w:space="0" w:color="000000"/>
            </w:tcBorders>
          </w:tcPr>
          <w:p w14:paraId="5FB25ADD" w14:textId="77777777" w:rsidR="00406B58" w:rsidRDefault="00406B58">
            <w:pPr>
              <w:spacing w:after="160" w:line="259" w:lineRule="auto"/>
              <w:ind w:left="0" w:right="0" w:firstLine="0"/>
              <w:jc w:val="left"/>
            </w:pPr>
          </w:p>
        </w:tc>
      </w:tr>
    </w:tbl>
    <w:p w14:paraId="43F554F3" w14:textId="77777777" w:rsidR="00406B58" w:rsidRDefault="00000000">
      <w:pPr>
        <w:spacing w:after="67" w:line="259" w:lineRule="auto"/>
        <w:ind w:left="416" w:right="0" w:firstLine="0"/>
        <w:jc w:val="left"/>
      </w:pPr>
      <w:r>
        <w:rPr>
          <w:rFonts w:ascii="Calibri" w:eastAsia="Calibri" w:hAnsi="Calibri" w:cs="Calibri"/>
          <w:color w:val="000000"/>
          <w:sz w:val="22"/>
        </w:rPr>
        <w:t xml:space="preserve"> </w:t>
      </w:r>
    </w:p>
    <w:p w14:paraId="35C8D741" w14:textId="77777777" w:rsidR="00406B58" w:rsidRDefault="00000000">
      <w:pPr>
        <w:pStyle w:val="Heading2"/>
        <w:ind w:left="3" w:right="1"/>
      </w:pPr>
      <w:r>
        <w:lastRenderedPageBreak/>
        <w:t>Decision Table Analysis</w:t>
      </w:r>
    </w:p>
    <w:tbl>
      <w:tblPr>
        <w:tblStyle w:val="TableGrid"/>
        <w:tblW w:w="8380" w:type="dxa"/>
        <w:tblInd w:w="184" w:type="dxa"/>
        <w:tblCellMar>
          <w:top w:w="54" w:type="dxa"/>
          <w:left w:w="102" w:type="dxa"/>
          <w:bottom w:w="0" w:type="dxa"/>
          <w:right w:w="105" w:type="dxa"/>
        </w:tblCellMar>
        <w:tblLook w:val="04A0" w:firstRow="1" w:lastRow="0" w:firstColumn="1" w:lastColumn="0" w:noHBand="0" w:noVBand="1"/>
      </w:tblPr>
      <w:tblGrid>
        <w:gridCol w:w="1442"/>
        <w:gridCol w:w="777"/>
        <w:gridCol w:w="1903"/>
        <w:gridCol w:w="1737"/>
        <w:gridCol w:w="527"/>
        <w:gridCol w:w="1994"/>
      </w:tblGrid>
      <w:tr w:rsidR="00406B58" w14:paraId="572C0392" w14:textId="77777777">
        <w:trPr>
          <w:trHeight w:val="561"/>
        </w:trPr>
        <w:tc>
          <w:tcPr>
            <w:tcW w:w="1442" w:type="dxa"/>
            <w:tcBorders>
              <w:top w:val="single" w:sz="4" w:space="0" w:color="000000"/>
              <w:left w:val="single" w:sz="4" w:space="0" w:color="000000"/>
              <w:bottom w:val="single" w:sz="4" w:space="0" w:color="000000"/>
              <w:right w:val="single" w:sz="4" w:space="0" w:color="000000"/>
            </w:tcBorders>
          </w:tcPr>
          <w:p w14:paraId="74F69E72" w14:textId="77777777" w:rsidR="00406B58" w:rsidRDefault="00000000">
            <w:pPr>
              <w:spacing w:after="0" w:line="259" w:lineRule="auto"/>
              <w:ind w:left="6" w:right="0" w:firstLine="0"/>
              <w:jc w:val="left"/>
            </w:pPr>
            <w:r>
              <w:rPr>
                <w:b/>
                <w:color w:val="000000"/>
              </w:rPr>
              <w:t xml:space="preserve">Group </w:t>
            </w:r>
          </w:p>
        </w:tc>
        <w:tc>
          <w:tcPr>
            <w:tcW w:w="777" w:type="dxa"/>
            <w:tcBorders>
              <w:top w:val="single" w:sz="4" w:space="0" w:color="000000"/>
              <w:left w:val="single" w:sz="4" w:space="0" w:color="000000"/>
              <w:bottom w:val="single" w:sz="4" w:space="0" w:color="000000"/>
              <w:right w:val="single" w:sz="4" w:space="0" w:color="000000"/>
            </w:tcBorders>
          </w:tcPr>
          <w:p w14:paraId="34296058" w14:textId="77777777" w:rsidR="00406B58" w:rsidRDefault="00000000">
            <w:pPr>
              <w:spacing w:after="0" w:line="259" w:lineRule="auto"/>
              <w:ind w:left="0" w:right="0" w:firstLine="0"/>
              <w:jc w:val="left"/>
            </w:pPr>
            <w:r>
              <w:rPr>
                <w:b/>
                <w:color w:val="000000"/>
              </w:rPr>
              <w:t xml:space="preserve">Size </w:t>
            </w:r>
          </w:p>
        </w:tc>
        <w:tc>
          <w:tcPr>
            <w:tcW w:w="1903" w:type="dxa"/>
            <w:tcBorders>
              <w:top w:val="single" w:sz="4" w:space="0" w:color="000000"/>
              <w:left w:val="single" w:sz="4" w:space="0" w:color="000000"/>
              <w:bottom w:val="single" w:sz="4" w:space="0" w:color="000000"/>
              <w:right w:val="single" w:sz="7" w:space="0" w:color="000000"/>
            </w:tcBorders>
          </w:tcPr>
          <w:p w14:paraId="3261DD39" w14:textId="77777777" w:rsidR="00406B58" w:rsidRDefault="00000000">
            <w:pPr>
              <w:spacing w:after="0" w:line="259" w:lineRule="auto"/>
              <w:ind w:left="0" w:right="0" w:firstLine="0"/>
              <w:jc w:val="left"/>
            </w:pPr>
            <w:r>
              <w:rPr>
                <w:b/>
                <w:color w:val="000000"/>
              </w:rPr>
              <w:t>X</w:t>
            </w:r>
            <w:r>
              <w:rPr>
                <w:b/>
                <w:color w:val="000000"/>
                <w:vertAlign w:val="superscript"/>
              </w:rPr>
              <w:t>2</w:t>
            </w:r>
            <w:r>
              <w:rPr>
                <w:b/>
                <w:color w:val="000000"/>
              </w:rPr>
              <w:t xml:space="preserve"> calculated </w:t>
            </w:r>
          </w:p>
        </w:tc>
        <w:tc>
          <w:tcPr>
            <w:tcW w:w="1737" w:type="dxa"/>
            <w:tcBorders>
              <w:top w:val="single" w:sz="4" w:space="0" w:color="000000"/>
              <w:left w:val="single" w:sz="7" w:space="0" w:color="000000"/>
              <w:bottom w:val="single" w:sz="4" w:space="0" w:color="000000"/>
              <w:right w:val="single" w:sz="4" w:space="0" w:color="000000"/>
            </w:tcBorders>
          </w:tcPr>
          <w:p w14:paraId="6F709198" w14:textId="77777777" w:rsidR="00406B58" w:rsidRDefault="00000000">
            <w:pPr>
              <w:spacing w:after="0" w:line="259" w:lineRule="auto"/>
              <w:ind w:left="2" w:right="0" w:firstLine="0"/>
              <w:jc w:val="left"/>
            </w:pPr>
            <w:r>
              <w:rPr>
                <w:b/>
                <w:color w:val="000000"/>
              </w:rPr>
              <w:t>X</w:t>
            </w:r>
            <w:r>
              <w:rPr>
                <w:b/>
                <w:color w:val="000000"/>
                <w:vertAlign w:val="superscript"/>
              </w:rPr>
              <w:t>2</w:t>
            </w:r>
            <w:r>
              <w:rPr>
                <w:b/>
                <w:color w:val="000000"/>
              </w:rPr>
              <w:t xml:space="preserve"> tabulated </w:t>
            </w:r>
          </w:p>
        </w:tc>
        <w:tc>
          <w:tcPr>
            <w:tcW w:w="527" w:type="dxa"/>
            <w:tcBorders>
              <w:top w:val="single" w:sz="4" w:space="0" w:color="000000"/>
              <w:left w:val="single" w:sz="4" w:space="0" w:color="000000"/>
              <w:bottom w:val="single" w:sz="4" w:space="0" w:color="000000"/>
              <w:right w:val="single" w:sz="4" w:space="0" w:color="000000"/>
            </w:tcBorders>
          </w:tcPr>
          <w:p w14:paraId="4C8E75C5" w14:textId="77777777" w:rsidR="00406B58" w:rsidRDefault="00000000">
            <w:pPr>
              <w:spacing w:after="0" w:line="259" w:lineRule="auto"/>
              <w:ind w:left="6" w:right="0" w:firstLine="0"/>
              <w:jc w:val="left"/>
            </w:pPr>
            <w:r>
              <w:rPr>
                <w:b/>
                <w:color w:val="000000"/>
              </w:rPr>
              <w:t xml:space="preserve">Df </w:t>
            </w:r>
          </w:p>
        </w:tc>
        <w:tc>
          <w:tcPr>
            <w:tcW w:w="1994" w:type="dxa"/>
            <w:tcBorders>
              <w:top w:val="single" w:sz="4" w:space="0" w:color="000000"/>
              <w:left w:val="single" w:sz="4" w:space="0" w:color="000000"/>
              <w:bottom w:val="single" w:sz="4" w:space="0" w:color="000000"/>
              <w:right w:val="single" w:sz="4" w:space="0" w:color="000000"/>
            </w:tcBorders>
          </w:tcPr>
          <w:p w14:paraId="1048E2A8" w14:textId="77777777" w:rsidR="00406B58" w:rsidRDefault="00000000">
            <w:pPr>
              <w:spacing w:after="0" w:line="259" w:lineRule="auto"/>
              <w:ind w:left="6" w:right="0" w:firstLine="0"/>
              <w:jc w:val="left"/>
            </w:pPr>
            <w:r>
              <w:rPr>
                <w:b/>
                <w:color w:val="000000"/>
              </w:rPr>
              <w:t xml:space="preserve">The decision of the hypothesis </w:t>
            </w:r>
          </w:p>
        </w:tc>
      </w:tr>
      <w:tr w:rsidR="00406B58" w14:paraId="204293C5" w14:textId="77777777">
        <w:trPr>
          <w:trHeight w:val="285"/>
        </w:trPr>
        <w:tc>
          <w:tcPr>
            <w:tcW w:w="1442" w:type="dxa"/>
            <w:tcBorders>
              <w:top w:val="single" w:sz="4" w:space="0" w:color="000000"/>
              <w:left w:val="single" w:sz="4" w:space="0" w:color="000000"/>
              <w:bottom w:val="single" w:sz="4" w:space="0" w:color="000000"/>
              <w:right w:val="single" w:sz="4" w:space="0" w:color="000000"/>
            </w:tcBorders>
          </w:tcPr>
          <w:p w14:paraId="4E91EF40" w14:textId="77777777" w:rsidR="00406B58" w:rsidRDefault="00000000">
            <w:pPr>
              <w:spacing w:after="0" w:line="259" w:lineRule="auto"/>
              <w:ind w:left="6" w:right="0" w:firstLine="0"/>
              <w:jc w:val="left"/>
            </w:pPr>
            <w:r>
              <w:rPr>
                <w:color w:val="000000"/>
              </w:rPr>
              <w:t xml:space="preserve">Agree </w:t>
            </w:r>
          </w:p>
        </w:tc>
        <w:tc>
          <w:tcPr>
            <w:tcW w:w="777" w:type="dxa"/>
            <w:tcBorders>
              <w:top w:val="single" w:sz="4" w:space="0" w:color="000000"/>
              <w:left w:val="single" w:sz="4" w:space="0" w:color="000000"/>
              <w:bottom w:val="single" w:sz="4" w:space="0" w:color="000000"/>
              <w:right w:val="single" w:sz="4" w:space="0" w:color="000000"/>
            </w:tcBorders>
          </w:tcPr>
          <w:p w14:paraId="4F9443B7" w14:textId="77777777" w:rsidR="00406B58" w:rsidRDefault="00000000">
            <w:pPr>
              <w:spacing w:after="0" w:line="259" w:lineRule="auto"/>
              <w:ind w:left="12" w:right="0" w:firstLine="0"/>
              <w:jc w:val="left"/>
            </w:pPr>
            <w:r>
              <w:rPr>
                <w:color w:val="000000"/>
              </w:rPr>
              <w:t xml:space="preserve">747 </w:t>
            </w:r>
          </w:p>
        </w:tc>
        <w:tc>
          <w:tcPr>
            <w:tcW w:w="1903" w:type="dxa"/>
            <w:vMerge w:val="restart"/>
            <w:tcBorders>
              <w:top w:val="single" w:sz="4" w:space="0" w:color="000000"/>
              <w:left w:val="single" w:sz="4" w:space="0" w:color="000000"/>
              <w:bottom w:val="single" w:sz="4" w:space="0" w:color="000000"/>
              <w:right w:val="single" w:sz="7" w:space="0" w:color="000000"/>
            </w:tcBorders>
          </w:tcPr>
          <w:p w14:paraId="05F698AE" w14:textId="77777777" w:rsidR="00406B58" w:rsidRDefault="00000000">
            <w:pPr>
              <w:spacing w:after="0" w:line="259" w:lineRule="auto"/>
              <w:ind w:left="12" w:right="0" w:firstLine="0"/>
              <w:jc w:val="left"/>
            </w:pPr>
            <w:r>
              <w:rPr>
                <w:color w:val="000000"/>
              </w:rPr>
              <w:t xml:space="preserve">105.47 </w:t>
            </w:r>
          </w:p>
        </w:tc>
        <w:tc>
          <w:tcPr>
            <w:tcW w:w="1737" w:type="dxa"/>
            <w:vMerge w:val="restart"/>
            <w:tcBorders>
              <w:top w:val="single" w:sz="4" w:space="0" w:color="000000"/>
              <w:left w:val="single" w:sz="7" w:space="0" w:color="000000"/>
              <w:bottom w:val="single" w:sz="4" w:space="0" w:color="000000"/>
              <w:right w:val="single" w:sz="4" w:space="0" w:color="000000"/>
            </w:tcBorders>
          </w:tcPr>
          <w:p w14:paraId="604BEC7A" w14:textId="77777777" w:rsidR="00406B58" w:rsidRDefault="00000000">
            <w:pPr>
              <w:spacing w:after="0" w:line="259" w:lineRule="auto"/>
              <w:ind w:left="10" w:right="0" w:firstLine="0"/>
              <w:jc w:val="left"/>
            </w:pPr>
            <w:r>
              <w:rPr>
                <w:color w:val="000000"/>
              </w:rPr>
              <w:t xml:space="preserve">14.067 </w:t>
            </w:r>
          </w:p>
        </w:tc>
        <w:tc>
          <w:tcPr>
            <w:tcW w:w="527" w:type="dxa"/>
            <w:vMerge w:val="restart"/>
            <w:tcBorders>
              <w:top w:val="single" w:sz="4" w:space="0" w:color="000000"/>
              <w:left w:val="single" w:sz="4" w:space="0" w:color="000000"/>
              <w:bottom w:val="single" w:sz="4" w:space="0" w:color="000000"/>
              <w:right w:val="single" w:sz="4" w:space="0" w:color="000000"/>
            </w:tcBorders>
          </w:tcPr>
          <w:p w14:paraId="5BBBF709" w14:textId="77777777" w:rsidR="00406B58" w:rsidRDefault="00000000">
            <w:pPr>
              <w:spacing w:after="0" w:line="259" w:lineRule="auto"/>
              <w:ind w:left="6" w:right="0" w:firstLine="0"/>
              <w:jc w:val="left"/>
            </w:pPr>
            <w:r>
              <w:rPr>
                <w:color w:val="000000"/>
              </w:rPr>
              <w:t xml:space="preserve">7 </w:t>
            </w:r>
          </w:p>
        </w:tc>
        <w:tc>
          <w:tcPr>
            <w:tcW w:w="1994" w:type="dxa"/>
            <w:vMerge w:val="restart"/>
            <w:tcBorders>
              <w:top w:val="single" w:sz="4" w:space="0" w:color="000000"/>
              <w:left w:val="single" w:sz="4" w:space="0" w:color="000000"/>
              <w:bottom w:val="single" w:sz="4" w:space="0" w:color="000000"/>
              <w:right w:val="single" w:sz="4" w:space="0" w:color="000000"/>
            </w:tcBorders>
          </w:tcPr>
          <w:p w14:paraId="5500F1A1" w14:textId="77777777" w:rsidR="00406B58" w:rsidRDefault="00000000">
            <w:pPr>
              <w:spacing w:after="0" w:line="259" w:lineRule="auto"/>
              <w:ind w:left="6" w:right="0" w:firstLine="0"/>
              <w:jc w:val="left"/>
            </w:pPr>
            <w:r>
              <w:rPr>
                <w:color w:val="000000"/>
              </w:rPr>
              <w:t xml:space="preserve">The hypothesis rejected </w:t>
            </w:r>
          </w:p>
        </w:tc>
      </w:tr>
      <w:tr w:rsidR="00406B58" w14:paraId="51525488" w14:textId="77777777">
        <w:trPr>
          <w:trHeight w:val="285"/>
        </w:trPr>
        <w:tc>
          <w:tcPr>
            <w:tcW w:w="1442" w:type="dxa"/>
            <w:tcBorders>
              <w:top w:val="single" w:sz="4" w:space="0" w:color="000000"/>
              <w:left w:val="single" w:sz="4" w:space="0" w:color="000000"/>
              <w:bottom w:val="single" w:sz="4" w:space="0" w:color="000000"/>
              <w:right w:val="single" w:sz="4" w:space="0" w:color="000000"/>
            </w:tcBorders>
          </w:tcPr>
          <w:p w14:paraId="352B9DB8" w14:textId="77777777" w:rsidR="00406B58" w:rsidRDefault="00000000">
            <w:pPr>
              <w:spacing w:after="0" w:line="259" w:lineRule="auto"/>
              <w:ind w:left="6" w:right="0" w:firstLine="0"/>
              <w:jc w:val="left"/>
            </w:pPr>
            <w:r>
              <w:rPr>
                <w:color w:val="000000"/>
              </w:rPr>
              <w:t xml:space="preserve">Disagree </w:t>
            </w:r>
          </w:p>
        </w:tc>
        <w:tc>
          <w:tcPr>
            <w:tcW w:w="777" w:type="dxa"/>
            <w:tcBorders>
              <w:top w:val="single" w:sz="4" w:space="0" w:color="000000"/>
              <w:left w:val="single" w:sz="4" w:space="0" w:color="000000"/>
              <w:bottom w:val="single" w:sz="4" w:space="0" w:color="000000"/>
              <w:right w:val="single" w:sz="4" w:space="0" w:color="000000"/>
            </w:tcBorders>
          </w:tcPr>
          <w:p w14:paraId="654E7BAD" w14:textId="77777777" w:rsidR="00406B58" w:rsidRDefault="00000000">
            <w:pPr>
              <w:spacing w:after="0" w:line="259" w:lineRule="auto"/>
              <w:ind w:left="12" w:right="0" w:firstLine="0"/>
              <w:jc w:val="left"/>
            </w:pPr>
            <w:r>
              <w:rPr>
                <w:color w:val="000000"/>
              </w:rPr>
              <w:t xml:space="preserve">453 </w:t>
            </w:r>
          </w:p>
        </w:tc>
        <w:tc>
          <w:tcPr>
            <w:tcW w:w="0" w:type="auto"/>
            <w:vMerge/>
            <w:tcBorders>
              <w:top w:val="nil"/>
              <w:left w:val="single" w:sz="4" w:space="0" w:color="000000"/>
              <w:bottom w:val="single" w:sz="4" w:space="0" w:color="000000"/>
              <w:right w:val="single" w:sz="7" w:space="0" w:color="000000"/>
            </w:tcBorders>
          </w:tcPr>
          <w:p w14:paraId="0EEB81E7" w14:textId="77777777" w:rsidR="00406B58" w:rsidRDefault="00406B58">
            <w:pPr>
              <w:spacing w:after="160" w:line="259" w:lineRule="auto"/>
              <w:ind w:left="0" w:right="0" w:firstLine="0"/>
              <w:jc w:val="left"/>
            </w:pPr>
          </w:p>
        </w:tc>
        <w:tc>
          <w:tcPr>
            <w:tcW w:w="0" w:type="auto"/>
            <w:vMerge/>
            <w:tcBorders>
              <w:top w:val="nil"/>
              <w:left w:val="single" w:sz="7" w:space="0" w:color="000000"/>
              <w:bottom w:val="single" w:sz="4" w:space="0" w:color="000000"/>
              <w:right w:val="single" w:sz="4" w:space="0" w:color="000000"/>
            </w:tcBorders>
          </w:tcPr>
          <w:p w14:paraId="7BE33D87"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7BC503D"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5F1916" w14:textId="77777777" w:rsidR="00406B58" w:rsidRDefault="00406B58">
            <w:pPr>
              <w:spacing w:after="160" w:line="259" w:lineRule="auto"/>
              <w:ind w:left="0" w:right="0" w:firstLine="0"/>
              <w:jc w:val="left"/>
            </w:pPr>
          </w:p>
        </w:tc>
      </w:tr>
    </w:tbl>
    <w:p w14:paraId="5E81C2D7" w14:textId="77777777" w:rsidR="00406B58" w:rsidRDefault="00000000">
      <w:pPr>
        <w:spacing w:after="103" w:line="259" w:lineRule="auto"/>
        <w:ind w:left="179" w:right="0" w:firstLine="0"/>
        <w:jc w:val="left"/>
      </w:pPr>
      <w:r>
        <w:rPr>
          <w:rFonts w:ascii="Calibri" w:eastAsia="Calibri" w:hAnsi="Calibri" w:cs="Calibri"/>
          <w:color w:val="000000"/>
          <w:sz w:val="22"/>
        </w:rPr>
        <w:t xml:space="preserve"> </w:t>
      </w:r>
    </w:p>
    <w:p w14:paraId="331C9F5A" w14:textId="77777777" w:rsidR="00406B58" w:rsidRDefault="00000000">
      <w:pPr>
        <w:spacing w:after="2"/>
        <w:ind w:left="-1" w:right="7"/>
      </w:pPr>
      <w:r>
        <w:t>With 7 degrees of freedom and a 0.05 threshold of significance, the chi-square computed value of 105.47 is more than the chi-square table value of 14.067, hence the hypothesis is rejected. Because of this finding, we may conclude that students with physical and health impairments have an interest in learning about and discussing sexually transmitted illnesses. This is consistent with the assertion of (Arago, 2016) that disabled individuals are susceptible to adverse situations that can increase their risk of contracting a sexually transmitted disease (WHO, 2018). In addition to contributing to the discrimination process, this misrepresentation of the sexuality of physically impaired people also increases their susceptibility to situations involving STIs. Regarding their sexuality, physically disabled individuals frequently encounter social prejudices and discrimination based on the false belief that they are asexual, incapable of producing healthy progeny, and do not have or cannot experience sexual rights. This misrepresentation of the sexual orientation of physically incapacitated individuals not only makes them susceptible to discrimination but also increases their susceptibility to situations involving STIs.</w:t>
      </w:r>
    </w:p>
    <w:p w14:paraId="6C1A1317" w14:textId="77777777" w:rsidR="00406B58" w:rsidRDefault="00000000">
      <w:pPr>
        <w:spacing w:after="278"/>
        <w:ind w:left="-1" w:right="7"/>
      </w:pPr>
      <w:r>
        <w:t>Research Question II: What are the attitudes of students with physical and health impairments towards teaching Sexually Transmitted Diseases in classrooms?</w:t>
      </w:r>
    </w:p>
    <w:p w14:paraId="3F5B3990" w14:textId="77777777" w:rsidR="00406B58" w:rsidRDefault="00000000">
      <w:pPr>
        <w:spacing w:after="0" w:line="259" w:lineRule="auto"/>
        <w:ind w:left="1015" w:right="0" w:hanging="1008"/>
        <w:jc w:val="left"/>
      </w:pPr>
      <w:r>
        <w:rPr>
          <w:b/>
        </w:rPr>
        <w:t>Table 2:</w:t>
      </w:r>
      <w:r>
        <w:t xml:space="preserve"> </w:t>
      </w:r>
      <w:r>
        <w:rPr>
          <w:i/>
        </w:rPr>
        <w:t>Attitudes of students with physical and health impairments towards teaching Sexually Transmitted Diseases in classrooms</w:t>
      </w:r>
    </w:p>
    <w:tbl>
      <w:tblPr>
        <w:tblStyle w:val="TableGrid"/>
        <w:tblW w:w="8126" w:type="dxa"/>
        <w:tblInd w:w="311" w:type="dxa"/>
        <w:tblCellMar>
          <w:top w:w="35" w:type="dxa"/>
          <w:left w:w="108" w:type="dxa"/>
          <w:bottom w:w="13" w:type="dxa"/>
          <w:right w:w="53" w:type="dxa"/>
        </w:tblCellMar>
        <w:tblLook w:val="04A0" w:firstRow="1" w:lastRow="0" w:firstColumn="1" w:lastColumn="0" w:noHBand="0" w:noVBand="1"/>
      </w:tblPr>
      <w:tblGrid>
        <w:gridCol w:w="1148"/>
        <w:gridCol w:w="1136"/>
        <w:gridCol w:w="1134"/>
        <w:gridCol w:w="1131"/>
        <w:gridCol w:w="1158"/>
        <w:gridCol w:w="2021"/>
        <w:gridCol w:w="398"/>
      </w:tblGrid>
      <w:tr w:rsidR="00406B58" w14:paraId="386F18D8" w14:textId="77777777">
        <w:trPr>
          <w:trHeight w:val="693"/>
        </w:trPr>
        <w:tc>
          <w:tcPr>
            <w:tcW w:w="1148" w:type="dxa"/>
            <w:tcBorders>
              <w:top w:val="single" w:sz="4" w:space="0" w:color="000000"/>
              <w:left w:val="single" w:sz="4" w:space="0" w:color="000000"/>
              <w:bottom w:val="single" w:sz="4" w:space="0" w:color="000000"/>
              <w:right w:val="single" w:sz="4" w:space="0" w:color="000000"/>
            </w:tcBorders>
          </w:tcPr>
          <w:p w14:paraId="29BC2BD8" w14:textId="77777777" w:rsidR="00406B58" w:rsidRDefault="00000000">
            <w:pPr>
              <w:spacing w:after="0" w:line="259" w:lineRule="auto"/>
              <w:ind w:left="0" w:right="0" w:firstLine="0"/>
              <w:jc w:val="left"/>
            </w:pPr>
            <w:r>
              <w:rPr>
                <w:b/>
                <w:color w:val="000000"/>
              </w:rPr>
              <w:t xml:space="preserve">S/N </w:t>
            </w:r>
          </w:p>
        </w:tc>
        <w:tc>
          <w:tcPr>
            <w:tcW w:w="1136" w:type="dxa"/>
            <w:tcBorders>
              <w:top w:val="single" w:sz="4" w:space="0" w:color="000000"/>
              <w:left w:val="single" w:sz="4" w:space="0" w:color="000000"/>
              <w:bottom w:val="single" w:sz="4" w:space="0" w:color="000000"/>
              <w:right w:val="single" w:sz="4" w:space="0" w:color="000000"/>
            </w:tcBorders>
          </w:tcPr>
          <w:p w14:paraId="32EAD1D7" w14:textId="77777777" w:rsidR="00406B58" w:rsidRDefault="00000000">
            <w:pPr>
              <w:spacing w:after="0" w:line="259" w:lineRule="auto"/>
              <w:ind w:left="0" w:right="0" w:firstLine="0"/>
              <w:jc w:val="left"/>
            </w:pPr>
            <w:r>
              <w:rPr>
                <w:b/>
                <w:color w:val="000000"/>
              </w:rPr>
              <w:t xml:space="preserve">Fo </w:t>
            </w:r>
          </w:p>
        </w:tc>
        <w:tc>
          <w:tcPr>
            <w:tcW w:w="1134" w:type="dxa"/>
            <w:tcBorders>
              <w:top w:val="single" w:sz="4" w:space="0" w:color="000000"/>
              <w:left w:val="single" w:sz="4" w:space="0" w:color="000000"/>
              <w:bottom w:val="single" w:sz="4" w:space="0" w:color="000000"/>
              <w:right w:val="single" w:sz="4" w:space="0" w:color="000000"/>
            </w:tcBorders>
          </w:tcPr>
          <w:p w14:paraId="7580ECCF" w14:textId="77777777" w:rsidR="00406B58" w:rsidRDefault="00000000">
            <w:pPr>
              <w:spacing w:after="0" w:line="259" w:lineRule="auto"/>
              <w:ind w:left="0" w:right="0" w:firstLine="0"/>
              <w:jc w:val="left"/>
            </w:pPr>
            <w:r>
              <w:rPr>
                <w:b/>
                <w:color w:val="000000"/>
              </w:rPr>
              <w:t xml:space="preserve">Fe </w:t>
            </w:r>
          </w:p>
        </w:tc>
        <w:tc>
          <w:tcPr>
            <w:tcW w:w="1131" w:type="dxa"/>
            <w:tcBorders>
              <w:top w:val="single" w:sz="4" w:space="0" w:color="000000"/>
              <w:left w:val="single" w:sz="4" w:space="0" w:color="000000"/>
              <w:bottom w:val="single" w:sz="4" w:space="0" w:color="000000"/>
              <w:right w:val="single" w:sz="4" w:space="0" w:color="000000"/>
            </w:tcBorders>
          </w:tcPr>
          <w:p w14:paraId="6E09BAE1" w14:textId="77777777" w:rsidR="00406B58" w:rsidRDefault="00000000">
            <w:pPr>
              <w:spacing w:after="0" w:line="259" w:lineRule="auto"/>
              <w:ind w:left="0" w:right="0" w:firstLine="0"/>
              <w:jc w:val="left"/>
            </w:pPr>
            <w:r>
              <w:rPr>
                <w:b/>
                <w:color w:val="000000"/>
              </w:rPr>
              <w:t xml:space="preserve">Fo-Fe </w:t>
            </w:r>
          </w:p>
        </w:tc>
        <w:tc>
          <w:tcPr>
            <w:tcW w:w="1158" w:type="dxa"/>
            <w:tcBorders>
              <w:top w:val="single" w:sz="4" w:space="0" w:color="000000"/>
              <w:left w:val="single" w:sz="4" w:space="0" w:color="000000"/>
              <w:bottom w:val="single" w:sz="4" w:space="0" w:color="000000"/>
              <w:right w:val="single" w:sz="4" w:space="0" w:color="000000"/>
            </w:tcBorders>
          </w:tcPr>
          <w:p w14:paraId="06534958" w14:textId="77777777" w:rsidR="00406B58" w:rsidRDefault="00000000">
            <w:pPr>
              <w:spacing w:after="0" w:line="259" w:lineRule="auto"/>
              <w:ind w:left="0" w:right="0" w:firstLine="0"/>
              <w:jc w:val="left"/>
            </w:pPr>
            <w:r>
              <w:rPr>
                <w:b/>
                <w:color w:val="000000"/>
              </w:rPr>
              <w:t>(Fo-Fe)</w:t>
            </w:r>
            <w:r>
              <w:rPr>
                <w:b/>
                <w:color w:val="000000"/>
                <w:vertAlign w:val="superscript"/>
              </w:rPr>
              <w:t>2</w:t>
            </w:r>
            <w:r>
              <w:rPr>
                <w:b/>
                <w:color w:val="000000"/>
              </w:rPr>
              <w:t xml:space="preserve"> </w:t>
            </w:r>
          </w:p>
        </w:tc>
        <w:tc>
          <w:tcPr>
            <w:tcW w:w="2418" w:type="dxa"/>
            <w:gridSpan w:val="2"/>
            <w:tcBorders>
              <w:top w:val="single" w:sz="4" w:space="0" w:color="000000"/>
              <w:left w:val="single" w:sz="4" w:space="0" w:color="000000"/>
              <w:bottom w:val="single" w:sz="4" w:space="0" w:color="000000"/>
              <w:right w:val="single" w:sz="4" w:space="0" w:color="000000"/>
            </w:tcBorders>
            <w:vAlign w:val="bottom"/>
          </w:tcPr>
          <w:p w14:paraId="44317555" w14:textId="77777777" w:rsidR="00406B58" w:rsidRDefault="00000000">
            <w:pPr>
              <w:spacing w:after="0" w:line="259" w:lineRule="auto"/>
              <w:ind w:left="877" w:right="0" w:hanging="817"/>
              <w:jc w:val="left"/>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113FADC9" wp14:editId="52FABA08">
                      <wp:simplePos x="0" y="0"/>
                      <wp:positionH relativeFrom="column">
                        <wp:posOffset>704708</wp:posOffset>
                      </wp:positionH>
                      <wp:positionV relativeFrom="paragraph">
                        <wp:posOffset>-108718</wp:posOffset>
                      </wp:positionV>
                      <wp:extent cx="660568" cy="198530"/>
                      <wp:effectExtent l="0" t="0" r="0" b="0"/>
                      <wp:wrapNone/>
                      <wp:docPr id="35133" name="Group 35133"/>
                      <wp:cNvGraphicFramePr/>
                      <a:graphic xmlns:a="http://schemas.openxmlformats.org/drawingml/2006/main">
                        <a:graphicData uri="http://schemas.microsoft.com/office/word/2010/wordprocessingGroup">
                          <wpg:wgp>
                            <wpg:cNvGrpSpPr/>
                            <wpg:grpSpPr>
                              <a:xfrm>
                                <a:off x="0" y="0"/>
                                <a:ext cx="660568" cy="198530"/>
                                <a:chOff x="0" y="0"/>
                                <a:chExt cx="660568" cy="198530"/>
                              </a:xfrm>
                            </wpg:grpSpPr>
                            <wps:wsp>
                              <wps:cNvPr id="1904" name="Shape 1904"/>
                              <wps:cNvSpPr/>
                              <wps:spPr>
                                <a:xfrm>
                                  <a:off x="16114" y="0"/>
                                  <a:ext cx="54454" cy="184216"/>
                                </a:xfrm>
                                <a:custGeom>
                                  <a:avLst/>
                                  <a:gdLst/>
                                  <a:ahLst/>
                                  <a:cxnLst/>
                                  <a:rect l="0" t="0" r="0" b="0"/>
                                  <a:pathLst>
                                    <a:path w="54454" h="184216">
                                      <a:moveTo>
                                        <a:pt x="54454" y="0"/>
                                      </a:moveTo>
                                      <a:lnTo>
                                        <a:pt x="54454" y="4152"/>
                                      </a:lnTo>
                                      <a:cubicBezTo>
                                        <a:pt x="46358" y="8641"/>
                                        <a:pt x="39708" y="14746"/>
                                        <a:pt x="34514" y="22540"/>
                                      </a:cubicBezTo>
                                      <a:cubicBezTo>
                                        <a:pt x="29320" y="30298"/>
                                        <a:pt x="25438" y="40184"/>
                                        <a:pt x="22875" y="52129"/>
                                      </a:cubicBezTo>
                                      <a:cubicBezTo>
                                        <a:pt x="20311" y="64105"/>
                                        <a:pt x="19026" y="76554"/>
                                        <a:pt x="19026" y="89544"/>
                                      </a:cubicBezTo>
                                      <a:cubicBezTo>
                                        <a:pt x="19026" y="104220"/>
                                        <a:pt x="20207" y="117515"/>
                                        <a:pt x="22569" y="129356"/>
                                      </a:cubicBezTo>
                                      <a:cubicBezTo>
                                        <a:pt x="24930" y="141232"/>
                                        <a:pt x="28578" y="151050"/>
                                        <a:pt x="33434" y="158876"/>
                                      </a:cubicBezTo>
                                      <a:cubicBezTo>
                                        <a:pt x="38293" y="166670"/>
                                        <a:pt x="45310" y="173690"/>
                                        <a:pt x="54454" y="179964"/>
                                      </a:cubicBezTo>
                                      <a:lnTo>
                                        <a:pt x="54454" y="184216"/>
                                      </a:lnTo>
                                      <a:cubicBezTo>
                                        <a:pt x="37282" y="175645"/>
                                        <a:pt x="23919" y="163095"/>
                                        <a:pt x="14340" y="146496"/>
                                      </a:cubicBezTo>
                                      <a:cubicBezTo>
                                        <a:pt x="4792" y="129929"/>
                                        <a:pt x="0" y="111813"/>
                                        <a:pt x="0" y="92111"/>
                                      </a:cubicBezTo>
                                      <a:cubicBezTo>
                                        <a:pt x="0" y="71629"/>
                                        <a:pt x="5026" y="52970"/>
                                        <a:pt x="15081" y="36138"/>
                                      </a:cubicBezTo>
                                      <a:cubicBezTo>
                                        <a:pt x="25168" y="19300"/>
                                        <a:pt x="38293" y="7254"/>
                                        <a:pt x="544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 name="Shape 1905"/>
                              <wps:cNvSpPr/>
                              <wps:spPr>
                                <a:xfrm>
                                  <a:off x="541735" y="0"/>
                                  <a:ext cx="54454" cy="184216"/>
                                </a:xfrm>
                                <a:custGeom>
                                  <a:avLst/>
                                  <a:gdLst/>
                                  <a:ahLst/>
                                  <a:cxnLst/>
                                  <a:rect l="0" t="0" r="0" b="0"/>
                                  <a:pathLst>
                                    <a:path w="54454" h="184216">
                                      <a:moveTo>
                                        <a:pt x="0" y="0"/>
                                      </a:moveTo>
                                      <a:cubicBezTo>
                                        <a:pt x="17173" y="8504"/>
                                        <a:pt x="30536" y="21021"/>
                                        <a:pt x="40115" y="37621"/>
                                      </a:cubicBezTo>
                                      <a:cubicBezTo>
                                        <a:pt x="49662" y="54188"/>
                                        <a:pt x="54454" y="72303"/>
                                        <a:pt x="54454" y="92006"/>
                                      </a:cubicBezTo>
                                      <a:cubicBezTo>
                                        <a:pt x="54454" y="112486"/>
                                        <a:pt x="49428" y="131177"/>
                                        <a:pt x="39374" y="148046"/>
                                      </a:cubicBezTo>
                                      <a:cubicBezTo>
                                        <a:pt x="29286" y="164917"/>
                                        <a:pt x="16197" y="176962"/>
                                        <a:pt x="0" y="184216"/>
                                      </a:cubicBezTo>
                                      <a:lnTo>
                                        <a:pt x="0" y="179964"/>
                                      </a:lnTo>
                                      <a:cubicBezTo>
                                        <a:pt x="8165" y="175476"/>
                                        <a:pt x="14848" y="169370"/>
                                        <a:pt x="20042" y="161575"/>
                                      </a:cubicBezTo>
                                      <a:cubicBezTo>
                                        <a:pt x="25236" y="153817"/>
                                        <a:pt x="29085" y="143965"/>
                                        <a:pt x="31612" y="132020"/>
                                      </a:cubicBezTo>
                                      <a:cubicBezTo>
                                        <a:pt x="34143" y="120111"/>
                                        <a:pt x="35428" y="107630"/>
                                        <a:pt x="35428" y="94573"/>
                                      </a:cubicBezTo>
                                      <a:cubicBezTo>
                                        <a:pt x="35428" y="79964"/>
                                        <a:pt x="34244" y="66705"/>
                                        <a:pt x="31918" y="54793"/>
                                      </a:cubicBezTo>
                                      <a:cubicBezTo>
                                        <a:pt x="29589" y="42916"/>
                                        <a:pt x="25978" y="33067"/>
                                        <a:pt x="21053" y="25240"/>
                                      </a:cubicBezTo>
                                      <a:cubicBezTo>
                                        <a:pt x="16161" y="17446"/>
                                        <a:pt x="9144" y="10394"/>
                                        <a:pt x="0" y="41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0" y="198530"/>
                                  <a:ext cx="660568" cy="0"/>
                                </a:xfrm>
                                <a:custGeom>
                                  <a:avLst/>
                                  <a:gdLst/>
                                  <a:ahLst/>
                                  <a:cxnLst/>
                                  <a:rect l="0" t="0" r="0" b="0"/>
                                  <a:pathLst>
                                    <a:path w="660568">
                                      <a:moveTo>
                                        <a:pt x="0" y="0"/>
                                      </a:moveTo>
                                      <a:lnTo>
                                        <a:pt x="660568" y="0"/>
                                      </a:lnTo>
                                    </a:path>
                                  </a:pathLst>
                                </a:custGeom>
                                <a:ln w="6087"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33" style="width:52.0132pt;height:15.6323pt;position:absolute;z-index:-2147483580;mso-position-horizontal-relative:text;mso-position-horizontal:absolute;margin-left:55.4888pt;mso-position-vertical-relative:text;margin-top:-8.56053pt;" coordsize="6605,1985">
                      <v:shape id="Shape 1904" style="position:absolute;width:544;height:1842;left:161;top:0;" coordsize="54454,184216" path="m54454,0l54454,4152c46358,8641,39708,14746,34514,22540c29320,30298,25438,40184,22875,52129c20311,64105,19026,76554,19026,89544c19026,104220,20207,117515,22569,129356c24930,141232,28578,151050,33434,158876c38293,166670,45310,173690,54454,179964l54454,184216c37282,175645,23919,163095,14340,146496c4792,129929,0,111813,0,92111c0,71629,5026,52970,15081,36138c25168,19300,38293,7254,54454,0x">
                        <v:stroke weight="0pt" endcap="flat" joinstyle="miter" miterlimit="10" on="false" color="#000000" opacity="0"/>
                        <v:fill on="true" color="#000000"/>
                      </v:shape>
                      <v:shape id="Shape 1905" style="position:absolute;width:544;height:1842;left:5417;top:0;" coordsize="54454,184216" path="m0,0c17173,8504,30536,21021,40115,37621c49662,54188,54454,72303,54454,92006c54454,112486,49428,131177,39374,148046c29286,164917,16197,176962,0,184216l0,179964c8165,175476,14848,169370,20042,161575c25236,153817,29085,143965,31612,132020c34143,120111,35428,107630,35428,94573c35428,79964,34244,66705,31918,54793c29589,42916,25978,33067,21053,25240c16161,17446,9144,10394,0,4152l0,0x">
                        <v:stroke weight="0pt" endcap="flat" joinstyle="miter" miterlimit="10" on="false" color="#000000" opacity="0"/>
                        <v:fill on="true" color="#000000"/>
                      </v:shape>
                      <v:shape id="Shape 1906" style="position:absolute;width:6605;height:0;left:0;top:1985;" coordsize="660568,0" path="m0,0l660568,0">
                        <v:stroke weight="0.4793pt" endcap="flat" joinstyle="miter" miterlimit="2" on="true" color="#000000"/>
                        <v:fill on="false" color="#000000" opacity="0"/>
                      </v:shape>
                    </v:group>
                  </w:pict>
                </mc:Fallback>
              </mc:AlternateContent>
            </w:r>
            <w:r>
              <w:rPr>
                <w:i/>
                <w:color w:val="000000"/>
              </w:rPr>
              <w:t xml:space="preserve">X </w:t>
            </w:r>
            <w:r>
              <w:rPr>
                <w:color w:val="000000"/>
                <w:sz w:val="14"/>
              </w:rPr>
              <w:t xml:space="preserve">2 </w:t>
            </w:r>
            <w:r>
              <w:rPr>
                <w:rFonts w:ascii="Segoe UI Symbol" w:eastAsia="Segoe UI Symbol" w:hAnsi="Segoe UI Symbol" w:cs="Segoe UI Symbol"/>
                <w:color w:val="000000"/>
              </w:rPr>
              <w:t>=</w:t>
            </w:r>
            <w:r>
              <w:rPr>
                <w:rFonts w:ascii="Segoe UI Symbol" w:eastAsia="Segoe UI Symbol" w:hAnsi="Segoe UI Symbol" w:cs="Segoe UI Symbol"/>
                <w:color w:val="000000"/>
                <w:sz w:val="56"/>
                <w:vertAlign w:val="subscript"/>
              </w:rPr>
              <w:t>å</w:t>
            </w:r>
            <w:r>
              <w:rPr>
                <w:rFonts w:ascii="Segoe UI Symbol" w:eastAsia="Segoe UI Symbol" w:hAnsi="Segoe UI Symbol" w:cs="Segoe UI Symbol"/>
                <w:color w:val="000000"/>
              </w:rPr>
              <w:t xml:space="preserve">æç </w:t>
            </w:r>
            <w:r>
              <w:rPr>
                <w:i/>
                <w:color w:val="000000"/>
              </w:rPr>
              <w:t>FoFo</w:t>
            </w:r>
            <w:r>
              <w:rPr>
                <w:rFonts w:ascii="Segoe UI Symbol" w:eastAsia="Segoe UI Symbol" w:hAnsi="Segoe UI Symbol" w:cs="Segoe UI Symbol"/>
                <w:color w:val="000000"/>
              </w:rPr>
              <w:t>-</w:t>
            </w:r>
            <w:r>
              <w:rPr>
                <w:i/>
                <w:color w:val="000000"/>
              </w:rPr>
              <w:t>Fe</w:t>
            </w:r>
            <w:r>
              <w:rPr>
                <w:color w:val="000000"/>
              </w:rPr>
              <w:t>2</w:t>
            </w:r>
            <w:r>
              <w:rPr>
                <w:rFonts w:ascii="Segoe UI Symbol" w:eastAsia="Segoe UI Symbol" w:hAnsi="Segoe UI Symbol" w:cs="Segoe UI Symbol"/>
                <w:color w:val="000000"/>
              </w:rPr>
              <w:t>ö÷ø</w:t>
            </w:r>
            <w:r>
              <w:rPr>
                <w:b/>
                <w:color w:val="000000"/>
              </w:rPr>
              <w:t xml:space="preserve"> </w:t>
            </w:r>
            <w:r>
              <w:rPr>
                <w:rFonts w:ascii="Segoe UI Symbol" w:eastAsia="Segoe UI Symbol" w:hAnsi="Segoe UI Symbol" w:cs="Segoe UI Symbol"/>
                <w:color w:val="000000"/>
              </w:rPr>
              <w:t>è</w:t>
            </w:r>
          </w:p>
        </w:tc>
      </w:tr>
      <w:tr w:rsidR="00406B58" w14:paraId="1C55661D"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1918DD94" w14:textId="77777777" w:rsidR="00406B58" w:rsidRDefault="00000000">
            <w:pPr>
              <w:spacing w:after="0" w:line="259" w:lineRule="auto"/>
              <w:ind w:left="0" w:right="0" w:firstLine="0"/>
              <w:jc w:val="left"/>
            </w:pPr>
            <w:r>
              <w:rPr>
                <w:color w:val="000000"/>
              </w:rPr>
              <w:t xml:space="preserve">1 </w:t>
            </w:r>
          </w:p>
        </w:tc>
        <w:tc>
          <w:tcPr>
            <w:tcW w:w="1136" w:type="dxa"/>
            <w:tcBorders>
              <w:top w:val="single" w:sz="4" w:space="0" w:color="000000"/>
              <w:left w:val="single" w:sz="4" w:space="0" w:color="000000"/>
              <w:bottom w:val="single" w:sz="4" w:space="0" w:color="000000"/>
              <w:right w:val="single" w:sz="4" w:space="0" w:color="000000"/>
            </w:tcBorders>
          </w:tcPr>
          <w:p w14:paraId="69F938B3" w14:textId="77777777" w:rsidR="00406B58" w:rsidRDefault="00000000">
            <w:pPr>
              <w:spacing w:after="0" w:line="259" w:lineRule="auto"/>
              <w:ind w:left="0" w:right="0" w:firstLine="0"/>
              <w:jc w:val="left"/>
            </w:pPr>
            <w:r>
              <w:rPr>
                <w:color w:val="000000"/>
              </w:rPr>
              <w:t xml:space="preserve">82 </w:t>
            </w:r>
          </w:p>
        </w:tc>
        <w:tc>
          <w:tcPr>
            <w:tcW w:w="1134" w:type="dxa"/>
            <w:tcBorders>
              <w:top w:val="single" w:sz="4" w:space="0" w:color="000000"/>
              <w:left w:val="single" w:sz="4" w:space="0" w:color="000000"/>
              <w:bottom w:val="single" w:sz="4" w:space="0" w:color="000000"/>
              <w:right w:val="single" w:sz="4" w:space="0" w:color="000000"/>
            </w:tcBorders>
          </w:tcPr>
          <w:p w14:paraId="1901253D"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5BFE5273" w14:textId="77777777" w:rsidR="00406B58" w:rsidRDefault="00000000">
            <w:pPr>
              <w:spacing w:after="0" w:line="259" w:lineRule="auto"/>
              <w:ind w:left="0" w:right="0" w:firstLine="0"/>
              <w:jc w:val="left"/>
            </w:pPr>
            <w:r>
              <w:rPr>
                <w:color w:val="000000"/>
              </w:rPr>
              <w:t xml:space="preserve">-11.4 </w:t>
            </w:r>
          </w:p>
        </w:tc>
        <w:tc>
          <w:tcPr>
            <w:tcW w:w="1158" w:type="dxa"/>
            <w:tcBorders>
              <w:top w:val="single" w:sz="4" w:space="0" w:color="000000"/>
              <w:left w:val="single" w:sz="4" w:space="0" w:color="000000"/>
              <w:bottom w:val="single" w:sz="4" w:space="0" w:color="000000"/>
              <w:right w:val="single" w:sz="4" w:space="0" w:color="000000"/>
            </w:tcBorders>
          </w:tcPr>
          <w:p w14:paraId="46ADF5F2" w14:textId="77777777" w:rsidR="00406B58" w:rsidRDefault="00000000">
            <w:pPr>
              <w:spacing w:after="0" w:line="259" w:lineRule="auto"/>
              <w:ind w:left="0" w:right="0" w:firstLine="0"/>
              <w:jc w:val="left"/>
            </w:pPr>
            <w:r>
              <w:rPr>
                <w:color w:val="000000"/>
              </w:rPr>
              <w:t xml:space="preserve">129.96 </w:t>
            </w:r>
          </w:p>
        </w:tc>
        <w:tc>
          <w:tcPr>
            <w:tcW w:w="2021" w:type="dxa"/>
            <w:tcBorders>
              <w:top w:val="single" w:sz="4" w:space="0" w:color="000000"/>
              <w:left w:val="single" w:sz="4" w:space="0" w:color="000000"/>
              <w:bottom w:val="single" w:sz="4" w:space="0" w:color="000000"/>
              <w:right w:val="nil"/>
            </w:tcBorders>
          </w:tcPr>
          <w:p w14:paraId="1AC11B89" w14:textId="77777777" w:rsidR="00406B58" w:rsidRDefault="00000000">
            <w:pPr>
              <w:spacing w:after="0" w:line="259" w:lineRule="auto"/>
              <w:ind w:left="343" w:right="0" w:firstLine="0"/>
              <w:jc w:val="center"/>
            </w:pPr>
            <w:r>
              <w:rPr>
                <w:color w:val="000000"/>
              </w:rPr>
              <w:t xml:space="preserve">1.58 </w:t>
            </w:r>
          </w:p>
        </w:tc>
        <w:tc>
          <w:tcPr>
            <w:tcW w:w="398" w:type="dxa"/>
            <w:tcBorders>
              <w:top w:val="single" w:sz="4" w:space="0" w:color="000000"/>
              <w:left w:val="nil"/>
              <w:bottom w:val="single" w:sz="4" w:space="0" w:color="000000"/>
              <w:right w:val="single" w:sz="4" w:space="0" w:color="000000"/>
            </w:tcBorders>
          </w:tcPr>
          <w:p w14:paraId="7D4A0958" w14:textId="77777777" w:rsidR="00406B58" w:rsidRDefault="00406B58">
            <w:pPr>
              <w:spacing w:after="160" w:line="259" w:lineRule="auto"/>
              <w:ind w:left="0" w:right="0" w:firstLine="0"/>
              <w:jc w:val="left"/>
            </w:pPr>
          </w:p>
        </w:tc>
      </w:tr>
      <w:tr w:rsidR="00406B58" w14:paraId="60218194"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133B24CE" w14:textId="77777777" w:rsidR="00406B58" w:rsidRDefault="00000000">
            <w:pPr>
              <w:spacing w:after="0" w:line="259" w:lineRule="auto"/>
              <w:ind w:left="0" w:right="0" w:firstLine="0"/>
              <w:jc w:val="left"/>
            </w:pPr>
            <w:r>
              <w:rPr>
                <w:color w:val="000000"/>
              </w:rPr>
              <w:t xml:space="preserve">2 </w:t>
            </w:r>
          </w:p>
        </w:tc>
        <w:tc>
          <w:tcPr>
            <w:tcW w:w="1136" w:type="dxa"/>
            <w:tcBorders>
              <w:top w:val="single" w:sz="4" w:space="0" w:color="000000"/>
              <w:left w:val="single" w:sz="4" w:space="0" w:color="000000"/>
              <w:bottom w:val="single" w:sz="4" w:space="0" w:color="000000"/>
              <w:right w:val="single" w:sz="4" w:space="0" w:color="000000"/>
            </w:tcBorders>
          </w:tcPr>
          <w:p w14:paraId="5EFFA423" w14:textId="77777777" w:rsidR="00406B58" w:rsidRDefault="00000000">
            <w:pPr>
              <w:spacing w:after="0" w:line="259" w:lineRule="auto"/>
              <w:ind w:left="0" w:right="0" w:firstLine="0"/>
              <w:jc w:val="left"/>
            </w:pPr>
            <w:r>
              <w:rPr>
                <w:color w:val="000000"/>
              </w:rPr>
              <w:t xml:space="preserve">87 </w:t>
            </w:r>
          </w:p>
        </w:tc>
        <w:tc>
          <w:tcPr>
            <w:tcW w:w="1134" w:type="dxa"/>
            <w:tcBorders>
              <w:top w:val="single" w:sz="4" w:space="0" w:color="000000"/>
              <w:left w:val="single" w:sz="4" w:space="0" w:color="000000"/>
              <w:bottom w:val="single" w:sz="4" w:space="0" w:color="000000"/>
              <w:right w:val="single" w:sz="4" w:space="0" w:color="000000"/>
            </w:tcBorders>
          </w:tcPr>
          <w:p w14:paraId="1048C07D"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520D32DB" w14:textId="77777777" w:rsidR="00406B58" w:rsidRDefault="00000000">
            <w:pPr>
              <w:spacing w:after="0" w:line="259" w:lineRule="auto"/>
              <w:ind w:left="0" w:right="0" w:firstLine="0"/>
              <w:jc w:val="left"/>
            </w:pPr>
            <w:r>
              <w:rPr>
                <w:color w:val="000000"/>
              </w:rPr>
              <w:t xml:space="preserve">-6.4 </w:t>
            </w:r>
          </w:p>
        </w:tc>
        <w:tc>
          <w:tcPr>
            <w:tcW w:w="1158" w:type="dxa"/>
            <w:tcBorders>
              <w:top w:val="single" w:sz="4" w:space="0" w:color="000000"/>
              <w:left w:val="single" w:sz="4" w:space="0" w:color="000000"/>
              <w:bottom w:val="single" w:sz="4" w:space="0" w:color="000000"/>
              <w:right w:val="single" w:sz="4" w:space="0" w:color="000000"/>
            </w:tcBorders>
          </w:tcPr>
          <w:p w14:paraId="5F64E548" w14:textId="77777777" w:rsidR="00406B58" w:rsidRDefault="00000000">
            <w:pPr>
              <w:spacing w:after="0" w:line="259" w:lineRule="auto"/>
              <w:ind w:left="0" w:right="0" w:firstLine="0"/>
              <w:jc w:val="left"/>
            </w:pPr>
            <w:r>
              <w:rPr>
                <w:color w:val="000000"/>
              </w:rPr>
              <w:t xml:space="preserve">40.96 </w:t>
            </w:r>
          </w:p>
        </w:tc>
        <w:tc>
          <w:tcPr>
            <w:tcW w:w="2021" w:type="dxa"/>
            <w:tcBorders>
              <w:top w:val="single" w:sz="4" w:space="0" w:color="000000"/>
              <w:left w:val="single" w:sz="4" w:space="0" w:color="000000"/>
              <w:bottom w:val="single" w:sz="4" w:space="0" w:color="000000"/>
              <w:right w:val="nil"/>
            </w:tcBorders>
          </w:tcPr>
          <w:p w14:paraId="3CBCE04F" w14:textId="77777777" w:rsidR="00406B58" w:rsidRDefault="00000000">
            <w:pPr>
              <w:spacing w:after="0" w:line="259" w:lineRule="auto"/>
              <w:ind w:left="343" w:right="0" w:firstLine="0"/>
              <w:jc w:val="center"/>
            </w:pPr>
            <w:r>
              <w:rPr>
                <w:color w:val="000000"/>
              </w:rPr>
              <w:t xml:space="preserve">0.47 </w:t>
            </w:r>
          </w:p>
        </w:tc>
        <w:tc>
          <w:tcPr>
            <w:tcW w:w="398" w:type="dxa"/>
            <w:tcBorders>
              <w:top w:val="single" w:sz="4" w:space="0" w:color="000000"/>
              <w:left w:val="nil"/>
              <w:bottom w:val="single" w:sz="4" w:space="0" w:color="000000"/>
              <w:right w:val="single" w:sz="4" w:space="0" w:color="000000"/>
            </w:tcBorders>
          </w:tcPr>
          <w:p w14:paraId="34F618C8" w14:textId="77777777" w:rsidR="00406B58" w:rsidRDefault="00406B58">
            <w:pPr>
              <w:spacing w:after="160" w:line="259" w:lineRule="auto"/>
              <w:ind w:left="0" w:right="0" w:firstLine="0"/>
              <w:jc w:val="left"/>
            </w:pPr>
          </w:p>
        </w:tc>
      </w:tr>
      <w:tr w:rsidR="00406B58" w14:paraId="0D53E97D" w14:textId="77777777">
        <w:trPr>
          <w:trHeight w:val="288"/>
        </w:trPr>
        <w:tc>
          <w:tcPr>
            <w:tcW w:w="1148" w:type="dxa"/>
            <w:tcBorders>
              <w:top w:val="single" w:sz="4" w:space="0" w:color="000000"/>
              <w:left w:val="single" w:sz="4" w:space="0" w:color="000000"/>
              <w:bottom w:val="single" w:sz="4" w:space="0" w:color="000000"/>
              <w:right w:val="single" w:sz="4" w:space="0" w:color="000000"/>
            </w:tcBorders>
          </w:tcPr>
          <w:p w14:paraId="0074EB34" w14:textId="77777777" w:rsidR="00406B58" w:rsidRDefault="00000000">
            <w:pPr>
              <w:spacing w:after="0" w:line="259" w:lineRule="auto"/>
              <w:ind w:left="0" w:right="0" w:firstLine="0"/>
              <w:jc w:val="left"/>
            </w:pPr>
            <w:r>
              <w:rPr>
                <w:color w:val="000000"/>
              </w:rPr>
              <w:t xml:space="preserve">3 </w:t>
            </w:r>
          </w:p>
        </w:tc>
        <w:tc>
          <w:tcPr>
            <w:tcW w:w="1136" w:type="dxa"/>
            <w:tcBorders>
              <w:top w:val="single" w:sz="4" w:space="0" w:color="000000"/>
              <w:left w:val="single" w:sz="4" w:space="0" w:color="000000"/>
              <w:bottom w:val="single" w:sz="4" w:space="0" w:color="000000"/>
              <w:right w:val="single" w:sz="4" w:space="0" w:color="000000"/>
            </w:tcBorders>
          </w:tcPr>
          <w:p w14:paraId="206FD49A" w14:textId="77777777" w:rsidR="00406B58" w:rsidRDefault="00000000">
            <w:pPr>
              <w:spacing w:after="0" w:line="259" w:lineRule="auto"/>
              <w:ind w:left="0" w:right="0" w:firstLine="0"/>
              <w:jc w:val="left"/>
            </w:pPr>
            <w:r>
              <w:rPr>
                <w:color w:val="000000"/>
              </w:rPr>
              <w:t xml:space="preserve">110 </w:t>
            </w:r>
          </w:p>
        </w:tc>
        <w:tc>
          <w:tcPr>
            <w:tcW w:w="1134" w:type="dxa"/>
            <w:tcBorders>
              <w:top w:val="single" w:sz="4" w:space="0" w:color="000000"/>
              <w:left w:val="single" w:sz="4" w:space="0" w:color="000000"/>
              <w:bottom w:val="single" w:sz="4" w:space="0" w:color="000000"/>
              <w:right w:val="single" w:sz="4" w:space="0" w:color="000000"/>
            </w:tcBorders>
          </w:tcPr>
          <w:p w14:paraId="7D3BDFF3"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7D0B67F8" w14:textId="77777777" w:rsidR="00406B58" w:rsidRDefault="00000000">
            <w:pPr>
              <w:spacing w:after="0" w:line="259" w:lineRule="auto"/>
              <w:ind w:left="0" w:right="0" w:firstLine="0"/>
              <w:jc w:val="left"/>
            </w:pPr>
            <w:r>
              <w:rPr>
                <w:color w:val="000000"/>
              </w:rPr>
              <w:t xml:space="preserve">16.6 </w:t>
            </w:r>
          </w:p>
        </w:tc>
        <w:tc>
          <w:tcPr>
            <w:tcW w:w="1158" w:type="dxa"/>
            <w:tcBorders>
              <w:top w:val="single" w:sz="4" w:space="0" w:color="000000"/>
              <w:left w:val="single" w:sz="4" w:space="0" w:color="000000"/>
              <w:bottom w:val="single" w:sz="4" w:space="0" w:color="000000"/>
              <w:right w:val="single" w:sz="4" w:space="0" w:color="000000"/>
            </w:tcBorders>
          </w:tcPr>
          <w:p w14:paraId="39A092E6" w14:textId="77777777" w:rsidR="00406B58" w:rsidRDefault="00000000">
            <w:pPr>
              <w:spacing w:after="0" w:line="259" w:lineRule="auto"/>
              <w:ind w:left="0" w:right="0" w:firstLine="0"/>
              <w:jc w:val="left"/>
            </w:pPr>
            <w:r>
              <w:rPr>
                <w:color w:val="000000"/>
              </w:rPr>
              <w:t xml:space="preserve">275.56 </w:t>
            </w:r>
          </w:p>
        </w:tc>
        <w:tc>
          <w:tcPr>
            <w:tcW w:w="2021" w:type="dxa"/>
            <w:tcBorders>
              <w:top w:val="single" w:sz="4" w:space="0" w:color="000000"/>
              <w:left w:val="single" w:sz="4" w:space="0" w:color="000000"/>
              <w:bottom w:val="single" w:sz="4" w:space="0" w:color="000000"/>
              <w:right w:val="nil"/>
            </w:tcBorders>
          </w:tcPr>
          <w:p w14:paraId="60305A7E" w14:textId="77777777" w:rsidR="00406B58" w:rsidRDefault="00000000">
            <w:pPr>
              <w:spacing w:after="0" w:line="259" w:lineRule="auto"/>
              <w:ind w:left="343" w:right="0" w:firstLine="0"/>
              <w:jc w:val="center"/>
            </w:pPr>
            <w:r>
              <w:rPr>
                <w:color w:val="000000"/>
              </w:rPr>
              <w:t xml:space="preserve">2.5 </w:t>
            </w:r>
          </w:p>
        </w:tc>
        <w:tc>
          <w:tcPr>
            <w:tcW w:w="398" w:type="dxa"/>
            <w:tcBorders>
              <w:top w:val="single" w:sz="4" w:space="0" w:color="000000"/>
              <w:left w:val="nil"/>
              <w:bottom w:val="single" w:sz="4" w:space="0" w:color="000000"/>
              <w:right w:val="single" w:sz="4" w:space="0" w:color="000000"/>
            </w:tcBorders>
          </w:tcPr>
          <w:p w14:paraId="3A0C84EA" w14:textId="77777777" w:rsidR="00406B58" w:rsidRDefault="00406B58">
            <w:pPr>
              <w:spacing w:after="160" w:line="259" w:lineRule="auto"/>
              <w:ind w:left="0" w:right="0" w:firstLine="0"/>
              <w:jc w:val="left"/>
            </w:pPr>
          </w:p>
        </w:tc>
      </w:tr>
      <w:tr w:rsidR="00406B58" w14:paraId="57C97A30"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67312A23" w14:textId="77777777" w:rsidR="00406B58" w:rsidRDefault="00000000">
            <w:pPr>
              <w:spacing w:after="0" w:line="259" w:lineRule="auto"/>
              <w:ind w:left="0" w:right="0" w:firstLine="0"/>
              <w:jc w:val="left"/>
            </w:pPr>
            <w:r>
              <w:rPr>
                <w:color w:val="000000"/>
              </w:rPr>
              <w:t xml:space="preserve">4 </w:t>
            </w:r>
          </w:p>
        </w:tc>
        <w:tc>
          <w:tcPr>
            <w:tcW w:w="1136" w:type="dxa"/>
            <w:tcBorders>
              <w:top w:val="single" w:sz="4" w:space="0" w:color="000000"/>
              <w:left w:val="single" w:sz="4" w:space="0" w:color="000000"/>
              <w:bottom w:val="single" w:sz="4" w:space="0" w:color="000000"/>
              <w:right w:val="single" w:sz="4" w:space="0" w:color="000000"/>
            </w:tcBorders>
          </w:tcPr>
          <w:p w14:paraId="642A76BA" w14:textId="77777777" w:rsidR="00406B58" w:rsidRDefault="00000000">
            <w:pPr>
              <w:spacing w:after="0" w:line="259" w:lineRule="auto"/>
              <w:ind w:left="0" w:right="0" w:firstLine="0"/>
              <w:jc w:val="left"/>
            </w:pPr>
            <w:r>
              <w:rPr>
                <w:color w:val="000000"/>
              </w:rPr>
              <w:t xml:space="preserve">95 </w:t>
            </w:r>
          </w:p>
        </w:tc>
        <w:tc>
          <w:tcPr>
            <w:tcW w:w="1134" w:type="dxa"/>
            <w:tcBorders>
              <w:top w:val="single" w:sz="4" w:space="0" w:color="000000"/>
              <w:left w:val="single" w:sz="4" w:space="0" w:color="000000"/>
              <w:bottom w:val="single" w:sz="4" w:space="0" w:color="000000"/>
              <w:right w:val="single" w:sz="4" w:space="0" w:color="000000"/>
            </w:tcBorders>
          </w:tcPr>
          <w:p w14:paraId="4C199AA1"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0D4E0342" w14:textId="77777777" w:rsidR="00406B58" w:rsidRDefault="00000000">
            <w:pPr>
              <w:spacing w:after="0" w:line="259" w:lineRule="auto"/>
              <w:ind w:left="0" w:right="0" w:firstLine="0"/>
              <w:jc w:val="left"/>
            </w:pPr>
            <w:r>
              <w:rPr>
                <w:color w:val="000000"/>
              </w:rPr>
              <w:t xml:space="preserve">1.6 </w:t>
            </w:r>
          </w:p>
        </w:tc>
        <w:tc>
          <w:tcPr>
            <w:tcW w:w="1158" w:type="dxa"/>
            <w:tcBorders>
              <w:top w:val="single" w:sz="4" w:space="0" w:color="000000"/>
              <w:left w:val="single" w:sz="4" w:space="0" w:color="000000"/>
              <w:bottom w:val="single" w:sz="4" w:space="0" w:color="000000"/>
              <w:right w:val="single" w:sz="4" w:space="0" w:color="000000"/>
            </w:tcBorders>
          </w:tcPr>
          <w:p w14:paraId="04DFBC9E" w14:textId="77777777" w:rsidR="00406B58" w:rsidRDefault="00000000">
            <w:pPr>
              <w:spacing w:after="0" w:line="259" w:lineRule="auto"/>
              <w:ind w:left="0" w:right="0" w:firstLine="0"/>
              <w:jc w:val="left"/>
            </w:pPr>
            <w:r>
              <w:rPr>
                <w:color w:val="000000"/>
              </w:rPr>
              <w:t xml:space="preserve">2.56 </w:t>
            </w:r>
          </w:p>
        </w:tc>
        <w:tc>
          <w:tcPr>
            <w:tcW w:w="2021" w:type="dxa"/>
            <w:tcBorders>
              <w:top w:val="single" w:sz="4" w:space="0" w:color="000000"/>
              <w:left w:val="single" w:sz="4" w:space="0" w:color="000000"/>
              <w:bottom w:val="single" w:sz="4" w:space="0" w:color="000000"/>
              <w:right w:val="nil"/>
            </w:tcBorders>
          </w:tcPr>
          <w:p w14:paraId="1653B15F" w14:textId="77777777" w:rsidR="00406B58" w:rsidRDefault="00000000">
            <w:pPr>
              <w:spacing w:after="0" w:line="259" w:lineRule="auto"/>
              <w:ind w:left="343" w:right="0" w:firstLine="0"/>
              <w:jc w:val="center"/>
            </w:pPr>
            <w:r>
              <w:rPr>
                <w:color w:val="000000"/>
              </w:rPr>
              <w:t xml:space="preserve">0.03 </w:t>
            </w:r>
          </w:p>
        </w:tc>
        <w:tc>
          <w:tcPr>
            <w:tcW w:w="398" w:type="dxa"/>
            <w:tcBorders>
              <w:top w:val="single" w:sz="4" w:space="0" w:color="000000"/>
              <w:left w:val="nil"/>
              <w:bottom w:val="single" w:sz="4" w:space="0" w:color="000000"/>
              <w:right w:val="single" w:sz="4" w:space="0" w:color="000000"/>
            </w:tcBorders>
          </w:tcPr>
          <w:p w14:paraId="23C8574A" w14:textId="77777777" w:rsidR="00406B58" w:rsidRDefault="00406B58">
            <w:pPr>
              <w:spacing w:after="160" w:line="259" w:lineRule="auto"/>
              <w:ind w:left="0" w:right="0" w:firstLine="0"/>
              <w:jc w:val="left"/>
            </w:pPr>
          </w:p>
        </w:tc>
      </w:tr>
      <w:tr w:rsidR="00406B58" w14:paraId="6716AF15"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67616824" w14:textId="77777777" w:rsidR="00406B58" w:rsidRDefault="00000000">
            <w:pPr>
              <w:spacing w:after="0" w:line="259" w:lineRule="auto"/>
              <w:ind w:left="0" w:right="0" w:firstLine="0"/>
              <w:jc w:val="left"/>
            </w:pPr>
            <w:r>
              <w:rPr>
                <w:color w:val="000000"/>
              </w:rPr>
              <w:t xml:space="preserve">5 </w:t>
            </w:r>
          </w:p>
        </w:tc>
        <w:tc>
          <w:tcPr>
            <w:tcW w:w="1136" w:type="dxa"/>
            <w:tcBorders>
              <w:top w:val="single" w:sz="4" w:space="0" w:color="000000"/>
              <w:left w:val="single" w:sz="4" w:space="0" w:color="000000"/>
              <w:bottom w:val="single" w:sz="4" w:space="0" w:color="000000"/>
              <w:right w:val="single" w:sz="4" w:space="0" w:color="000000"/>
            </w:tcBorders>
          </w:tcPr>
          <w:p w14:paraId="1EE50BB7" w14:textId="77777777" w:rsidR="00406B58" w:rsidRDefault="00000000">
            <w:pPr>
              <w:spacing w:after="0" w:line="259" w:lineRule="auto"/>
              <w:ind w:left="0" w:right="0" w:firstLine="0"/>
              <w:jc w:val="left"/>
            </w:pPr>
            <w:r>
              <w:rPr>
                <w:color w:val="000000"/>
              </w:rPr>
              <w:t xml:space="preserve">84 </w:t>
            </w:r>
          </w:p>
        </w:tc>
        <w:tc>
          <w:tcPr>
            <w:tcW w:w="1134" w:type="dxa"/>
            <w:tcBorders>
              <w:top w:val="single" w:sz="4" w:space="0" w:color="000000"/>
              <w:left w:val="single" w:sz="4" w:space="0" w:color="000000"/>
              <w:bottom w:val="single" w:sz="4" w:space="0" w:color="000000"/>
              <w:right w:val="single" w:sz="4" w:space="0" w:color="000000"/>
            </w:tcBorders>
          </w:tcPr>
          <w:p w14:paraId="53FF2EC4"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7FB1F362" w14:textId="77777777" w:rsidR="00406B58" w:rsidRDefault="00000000">
            <w:pPr>
              <w:spacing w:after="0" w:line="259" w:lineRule="auto"/>
              <w:ind w:left="0" w:right="0" w:firstLine="0"/>
              <w:jc w:val="left"/>
            </w:pPr>
            <w:r>
              <w:rPr>
                <w:color w:val="000000"/>
              </w:rPr>
              <w:t xml:space="preserve">-9.4 </w:t>
            </w:r>
          </w:p>
        </w:tc>
        <w:tc>
          <w:tcPr>
            <w:tcW w:w="1158" w:type="dxa"/>
            <w:tcBorders>
              <w:top w:val="single" w:sz="4" w:space="0" w:color="000000"/>
              <w:left w:val="single" w:sz="4" w:space="0" w:color="000000"/>
              <w:bottom w:val="single" w:sz="4" w:space="0" w:color="000000"/>
              <w:right w:val="single" w:sz="4" w:space="0" w:color="000000"/>
            </w:tcBorders>
          </w:tcPr>
          <w:p w14:paraId="68D3032A" w14:textId="77777777" w:rsidR="00406B58" w:rsidRDefault="00000000">
            <w:pPr>
              <w:spacing w:after="0" w:line="259" w:lineRule="auto"/>
              <w:ind w:left="0" w:right="0" w:firstLine="0"/>
              <w:jc w:val="left"/>
            </w:pPr>
            <w:r>
              <w:rPr>
                <w:color w:val="000000"/>
              </w:rPr>
              <w:t xml:space="preserve">88.36 </w:t>
            </w:r>
          </w:p>
        </w:tc>
        <w:tc>
          <w:tcPr>
            <w:tcW w:w="2021" w:type="dxa"/>
            <w:tcBorders>
              <w:top w:val="single" w:sz="4" w:space="0" w:color="000000"/>
              <w:left w:val="single" w:sz="4" w:space="0" w:color="000000"/>
              <w:bottom w:val="single" w:sz="4" w:space="0" w:color="000000"/>
              <w:right w:val="nil"/>
            </w:tcBorders>
          </w:tcPr>
          <w:p w14:paraId="022D592C" w14:textId="77777777" w:rsidR="00406B58" w:rsidRDefault="00000000">
            <w:pPr>
              <w:spacing w:after="0" w:line="259" w:lineRule="auto"/>
              <w:ind w:left="343" w:right="0" w:firstLine="0"/>
              <w:jc w:val="center"/>
            </w:pPr>
            <w:r>
              <w:rPr>
                <w:color w:val="000000"/>
              </w:rPr>
              <w:t xml:space="preserve">1.05 </w:t>
            </w:r>
          </w:p>
        </w:tc>
        <w:tc>
          <w:tcPr>
            <w:tcW w:w="398" w:type="dxa"/>
            <w:tcBorders>
              <w:top w:val="single" w:sz="4" w:space="0" w:color="000000"/>
              <w:left w:val="nil"/>
              <w:bottom w:val="single" w:sz="4" w:space="0" w:color="000000"/>
              <w:right w:val="single" w:sz="4" w:space="0" w:color="000000"/>
            </w:tcBorders>
          </w:tcPr>
          <w:p w14:paraId="20C2AA94" w14:textId="77777777" w:rsidR="00406B58" w:rsidRDefault="00406B58">
            <w:pPr>
              <w:spacing w:after="160" w:line="259" w:lineRule="auto"/>
              <w:ind w:left="0" w:right="0" w:firstLine="0"/>
              <w:jc w:val="left"/>
            </w:pPr>
          </w:p>
        </w:tc>
      </w:tr>
      <w:tr w:rsidR="00406B58" w14:paraId="3D8077AE"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6C4795C3" w14:textId="77777777" w:rsidR="00406B58" w:rsidRDefault="00000000">
            <w:pPr>
              <w:spacing w:after="0" w:line="259" w:lineRule="auto"/>
              <w:ind w:left="0" w:right="0" w:firstLine="0"/>
              <w:jc w:val="left"/>
            </w:pPr>
            <w:r>
              <w:rPr>
                <w:color w:val="000000"/>
              </w:rPr>
              <w:t xml:space="preserve">6 </w:t>
            </w:r>
          </w:p>
        </w:tc>
        <w:tc>
          <w:tcPr>
            <w:tcW w:w="1136" w:type="dxa"/>
            <w:tcBorders>
              <w:top w:val="single" w:sz="4" w:space="0" w:color="000000"/>
              <w:left w:val="single" w:sz="4" w:space="0" w:color="000000"/>
              <w:bottom w:val="single" w:sz="4" w:space="0" w:color="000000"/>
              <w:right w:val="single" w:sz="4" w:space="0" w:color="000000"/>
            </w:tcBorders>
          </w:tcPr>
          <w:p w14:paraId="11495194" w14:textId="77777777" w:rsidR="00406B58" w:rsidRDefault="00000000">
            <w:pPr>
              <w:spacing w:after="0" w:line="259" w:lineRule="auto"/>
              <w:ind w:left="0" w:right="0" w:firstLine="0"/>
              <w:jc w:val="left"/>
            </w:pPr>
            <w:r>
              <w:rPr>
                <w:color w:val="000000"/>
              </w:rPr>
              <w:t xml:space="preserve">106 </w:t>
            </w:r>
          </w:p>
        </w:tc>
        <w:tc>
          <w:tcPr>
            <w:tcW w:w="1134" w:type="dxa"/>
            <w:tcBorders>
              <w:top w:val="single" w:sz="4" w:space="0" w:color="000000"/>
              <w:left w:val="single" w:sz="4" w:space="0" w:color="000000"/>
              <w:bottom w:val="single" w:sz="4" w:space="0" w:color="000000"/>
              <w:right w:val="single" w:sz="4" w:space="0" w:color="000000"/>
            </w:tcBorders>
          </w:tcPr>
          <w:p w14:paraId="44CB586F"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480C609B" w14:textId="77777777" w:rsidR="00406B58" w:rsidRDefault="00000000">
            <w:pPr>
              <w:spacing w:after="0" w:line="259" w:lineRule="auto"/>
              <w:ind w:left="0" w:right="0" w:firstLine="0"/>
              <w:jc w:val="left"/>
            </w:pPr>
            <w:r>
              <w:rPr>
                <w:color w:val="000000"/>
              </w:rPr>
              <w:t xml:space="preserve">12.6 </w:t>
            </w:r>
          </w:p>
        </w:tc>
        <w:tc>
          <w:tcPr>
            <w:tcW w:w="1158" w:type="dxa"/>
            <w:tcBorders>
              <w:top w:val="single" w:sz="4" w:space="0" w:color="000000"/>
              <w:left w:val="single" w:sz="4" w:space="0" w:color="000000"/>
              <w:bottom w:val="single" w:sz="4" w:space="0" w:color="000000"/>
              <w:right w:val="single" w:sz="4" w:space="0" w:color="000000"/>
            </w:tcBorders>
          </w:tcPr>
          <w:p w14:paraId="1DE302B0" w14:textId="77777777" w:rsidR="00406B58" w:rsidRDefault="00000000">
            <w:pPr>
              <w:spacing w:after="0" w:line="259" w:lineRule="auto"/>
              <w:ind w:left="0" w:right="0" w:firstLine="0"/>
              <w:jc w:val="left"/>
            </w:pPr>
            <w:r>
              <w:rPr>
                <w:color w:val="000000"/>
              </w:rPr>
              <w:t xml:space="preserve">158.76 </w:t>
            </w:r>
          </w:p>
        </w:tc>
        <w:tc>
          <w:tcPr>
            <w:tcW w:w="2021" w:type="dxa"/>
            <w:tcBorders>
              <w:top w:val="single" w:sz="4" w:space="0" w:color="000000"/>
              <w:left w:val="single" w:sz="4" w:space="0" w:color="000000"/>
              <w:bottom w:val="single" w:sz="4" w:space="0" w:color="000000"/>
              <w:right w:val="nil"/>
            </w:tcBorders>
          </w:tcPr>
          <w:p w14:paraId="28EACE64" w14:textId="77777777" w:rsidR="00406B58" w:rsidRDefault="00000000">
            <w:pPr>
              <w:spacing w:after="0" w:line="259" w:lineRule="auto"/>
              <w:ind w:left="343" w:right="0" w:firstLine="0"/>
              <w:jc w:val="center"/>
            </w:pPr>
            <w:r>
              <w:rPr>
                <w:color w:val="000000"/>
              </w:rPr>
              <w:t xml:space="preserve">1.50 </w:t>
            </w:r>
          </w:p>
        </w:tc>
        <w:tc>
          <w:tcPr>
            <w:tcW w:w="398" w:type="dxa"/>
            <w:tcBorders>
              <w:top w:val="single" w:sz="4" w:space="0" w:color="000000"/>
              <w:left w:val="nil"/>
              <w:bottom w:val="single" w:sz="4" w:space="0" w:color="000000"/>
              <w:right w:val="single" w:sz="4" w:space="0" w:color="000000"/>
            </w:tcBorders>
          </w:tcPr>
          <w:p w14:paraId="52FC8B7F" w14:textId="77777777" w:rsidR="00406B58" w:rsidRDefault="00406B58">
            <w:pPr>
              <w:spacing w:after="160" w:line="259" w:lineRule="auto"/>
              <w:ind w:left="0" w:right="0" w:firstLine="0"/>
              <w:jc w:val="left"/>
            </w:pPr>
          </w:p>
        </w:tc>
      </w:tr>
      <w:tr w:rsidR="00406B58" w14:paraId="4078AE65"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047C214F" w14:textId="77777777" w:rsidR="00406B58" w:rsidRDefault="00000000">
            <w:pPr>
              <w:spacing w:after="0" w:line="259" w:lineRule="auto"/>
              <w:ind w:left="0" w:right="0" w:firstLine="0"/>
              <w:jc w:val="left"/>
            </w:pPr>
            <w:r>
              <w:rPr>
                <w:color w:val="000000"/>
              </w:rPr>
              <w:t xml:space="preserve">7 </w:t>
            </w:r>
          </w:p>
        </w:tc>
        <w:tc>
          <w:tcPr>
            <w:tcW w:w="1136" w:type="dxa"/>
            <w:tcBorders>
              <w:top w:val="single" w:sz="4" w:space="0" w:color="000000"/>
              <w:left w:val="single" w:sz="4" w:space="0" w:color="000000"/>
              <w:bottom w:val="single" w:sz="4" w:space="0" w:color="000000"/>
              <w:right w:val="single" w:sz="4" w:space="0" w:color="000000"/>
            </w:tcBorders>
          </w:tcPr>
          <w:p w14:paraId="29169809" w14:textId="77777777" w:rsidR="00406B58" w:rsidRDefault="00000000">
            <w:pPr>
              <w:spacing w:after="0" w:line="259" w:lineRule="auto"/>
              <w:ind w:left="0" w:right="0" w:firstLine="0"/>
              <w:jc w:val="left"/>
            </w:pPr>
            <w:r>
              <w:rPr>
                <w:color w:val="000000"/>
              </w:rPr>
              <w:t xml:space="preserve">90 </w:t>
            </w:r>
          </w:p>
        </w:tc>
        <w:tc>
          <w:tcPr>
            <w:tcW w:w="1134" w:type="dxa"/>
            <w:tcBorders>
              <w:top w:val="single" w:sz="4" w:space="0" w:color="000000"/>
              <w:left w:val="single" w:sz="4" w:space="0" w:color="000000"/>
              <w:bottom w:val="single" w:sz="4" w:space="0" w:color="000000"/>
              <w:right w:val="single" w:sz="4" w:space="0" w:color="000000"/>
            </w:tcBorders>
          </w:tcPr>
          <w:p w14:paraId="62D35DEB" w14:textId="77777777" w:rsidR="00406B58" w:rsidRDefault="00000000">
            <w:pPr>
              <w:spacing w:after="0" w:line="259" w:lineRule="auto"/>
              <w:ind w:left="0" w:right="0" w:firstLine="0"/>
              <w:jc w:val="left"/>
            </w:pPr>
            <w:r>
              <w:rPr>
                <w:color w:val="000000"/>
              </w:rPr>
              <w:t xml:space="preserve">93.4 </w:t>
            </w:r>
          </w:p>
        </w:tc>
        <w:tc>
          <w:tcPr>
            <w:tcW w:w="1131" w:type="dxa"/>
            <w:tcBorders>
              <w:top w:val="single" w:sz="4" w:space="0" w:color="000000"/>
              <w:left w:val="single" w:sz="4" w:space="0" w:color="000000"/>
              <w:bottom w:val="single" w:sz="4" w:space="0" w:color="000000"/>
              <w:right w:val="single" w:sz="4" w:space="0" w:color="000000"/>
            </w:tcBorders>
          </w:tcPr>
          <w:p w14:paraId="61C6F99A" w14:textId="77777777" w:rsidR="00406B58" w:rsidRDefault="00000000">
            <w:pPr>
              <w:spacing w:after="0" w:line="259" w:lineRule="auto"/>
              <w:ind w:left="0" w:right="0" w:firstLine="0"/>
              <w:jc w:val="left"/>
            </w:pPr>
            <w:r>
              <w:rPr>
                <w:color w:val="000000"/>
              </w:rPr>
              <w:t xml:space="preserve">-3.4 </w:t>
            </w:r>
          </w:p>
        </w:tc>
        <w:tc>
          <w:tcPr>
            <w:tcW w:w="1158" w:type="dxa"/>
            <w:tcBorders>
              <w:top w:val="single" w:sz="4" w:space="0" w:color="000000"/>
              <w:left w:val="single" w:sz="4" w:space="0" w:color="000000"/>
              <w:bottom w:val="single" w:sz="4" w:space="0" w:color="000000"/>
              <w:right w:val="single" w:sz="4" w:space="0" w:color="000000"/>
            </w:tcBorders>
          </w:tcPr>
          <w:p w14:paraId="2962851A" w14:textId="77777777" w:rsidR="00406B58" w:rsidRDefault="00000000">
            <w:pPr>
              <w:spacing w:after="0" w:line="259" w:lineRule="auto"/>
              <w:ind w:left="0" w:right="0" w:firstLine="0"/>
              <w:jc w:val="left"/>
            </w:pPr>
            <w:r>
              <w:rPr>
                <w:color w:val="000000"/>
              </w:rPr>
              <w:t xml:space="preserve">11.56 </w:t>
            </w:r>
          </w:p>
        </w:tc>
        <w:tc>
          <w:tcPr>
            <w:tcW w:w="2021" w:type="dxa"/>
            <w:tcBorders>
              <w:top w:val="single" w:sz="4" w:space="0" w:color="000000"/>
              <w:left w:val="single" w:sz="4" w:space="0" w:color="000000"/>
              <w:bottom w:val="single" w:sz="4" w:space="0" w:color="000000"/>
              <w:right w:val="nil"/>
            </w:tcBorders>
          </w:tcPr>
          <w:p w14:paraId="43990F76" w14:textId="77777777" w:rsidR="00406B58" w:rsidRDefault="00000000">
            <w:pPr>
              <w:spacing w:after="0" w:line="259" w:lineRule="auto"/>
              <w:ind w:left="343" w:right="0" w:firstLine="0"/>
              <w:jc w:val="center"/>
            </w:pPr>
            <w:r>
              <w:rPr>
                <w:color w:val="000000"/>
              </w:rPr>
              <w:t xml:space="preserve">0.13 </w:t>
            </w:r>
          </w:p>
        </w:tc>
        <w:tc>
          <w:tcPr>
            <w:tcW w:w="398" w:type="dxa"/>
            <w:tcBorders>
              <w:top w:val="single" w:sz="4" w:space="0" w:color="000000"/>
              <w:left w:val="nil"/>
              <w:bottom w:val="single" w:sz="4" w:space="0" w:color="000000"/>
              <w:right w:val="single" w:sz="4" w:space="0" w:color="000000"/>
            </w:tcBorders>
          </w:tcPr>
          <w:p w14:paraId="61F2F39D" w14:textId="77777777" w:rsidR="00406B58" w:rsidRDefault="00406B58">
            <w:pPr>
              <w:spacing w:after="160" w:line="259" w:lineRule="auto"/>
              <w:ind w:left="0" w:right="0" w:firstLine="0"/>
              <w:jc w:val="left"/>
            </w:pPr>
          </w:p>
        </w:tc>
      </w:tr>
      <w:tr w:rsidR="00406B58" w14:paraId="7A49DA99"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70C722CB" w14:textId="77777777" w:rsidR="00406B58" w:rsidRDefault="00000000">
            <w:pPr>
              <w:spacing w:after="0" w:line="259" w:lineRule="auto"/>
              <w:ind w:left="0" w:right="0" w:firstLine="0"/>
              <w:jc w:val="left"/>
            </w:pPr>
            <w:r>
              <w:rPr>
                <w:color w:val="000000"/>
              </w:rPr>
              <w:t xml:space="preserve">8 </w:t>
            </w:r>
          </w:p>
        </w:tc>
        <w:tc>
          <w:tcPr>
            <w:tcW w:w="1136" w:type="dxa"/>
            <w:tcBorders>
              <w:top w:val="single" w:sz="4" w:space="0" w:color="000000"/>
              <w:left w:val="single" w:sz="4" w:space="0" w:color="000000"/>
              <w:bottom w:val="single" w:sz="4" w:space="0" w:color="000000"/>
              <w:right w:val="single" w:sz="4" w:space="0" w:color="000000"/>
            </w:tcBorders>
          </w:tcPr>
          <w:p w14:paraId="228EB83D" w14:textId="77777777" w:rsidR="00406B58" w:rsidRDefault="00000000">
            <w:pPr>
              <w:spacing w:after="0" w:line="259" w:lineRule="auto"/>
              <w:ind w:left="0" w:right="0" w:firstLine="0"/>
              <w:jc w:val="left"/>
            </w:pPr>
            <w:r>
              <w:rPr>
                <w:color w:val="000000"/>
              </w:rPr>
              <w:t xml:space="preserve">68 </w:t>
            </w:r>
          </w:p>
        </w:tc>
        <w:tc>
          <w:tcPr>
            <w:tcW w:w="1134" w:type="dxa"/>
            <w:tcBorders>
              <w:top w:val="single" w:sz="4" w:space="0" w:color="000000"/>
              <w:left w:val="single" w:sz="4" w:space="0" w:color="000000"/>
              <w:bottom w:val="single" w:sz="4" w:space="0" w:color="000000"/>
              <w:right w:val="single" w:sz="4" w:space="0" w:color="000000"/>
            </w:tcBorders>
          </w:tcPr>
          <w:p w14:paraId="583EC49D" w14:textId="77777777" w:rsidR="00406B58" w:rsidRDefault="00000000">
            <w:pPr>
              <w:spacing w:after="0" w:line="259" w:lineRule="auto"/>
              <w:ind w:left="0" w:right="0" w:firstLine="0"/>
              <w:jc w:val="left"/>
            </w:pPr>
            <w:r>
              <w:rPr>
                <w:color w:val="000000"/>
              </w:rPr>
              <w:t xml:space="preserve">56.5 </w:t>
            </w:r>
          </w:p>
        </w:tc>
        <w:tc>
          <w:tcPr>
            <w:tcW w:w="1131" w:type="dxa"/>
            <w:tcBorders>
              <w:top w:val="single" w:sz="4" w:space="0" w:color="000000"/>
              <w:left w:val="single" w:sz="4" w:space="0" w:color="000000"/>
              <w:bottom w:val="single" w:sz="4" w:space="0" w:color="000000"/>
              <w:right w:val="single" w:sz="4" w:space="0" w:color="000000"/>
            </w:tcBorders>
          </w:tcPr>
          <w:p w14:paraId="7B09ADAC" w14:textId="77777777" w:rsidR="00406B58" w:rsidRDefault="00000000">
            <w:pPr>
              <w:spacing w:after="0" w:line="259" w:lineRule="auto"/>
              <w:ind w:left="0" w:right="0" w:firstLine="0"/>
              <w:jc w:val="left"/>
            </w:pPr>
            <w:r>
              <w:rPr>
                <w:color w:val="000000"/>
              </w:rPr>
              <w:t xml:space="preserve">11.5 </w:t>
            </w:r>
          </w:p>
        </w:tc>
        <w:tc>
          <w:tcPr>
            <w:tcW w:w="1158" w:type="dxa"/>
            <w:tcBorders>
              <w:top w:val="single" w:sz="4" w:space="0" w:color="000000"/>
              <w:left w:val="single" w:sz="4" w:space="0" w:color="000000"/>
              <w:bottom w:val="single" w:sz="4" w:space="0" w:color="000000"/>
              <w:right w:val="single" w:sz="4" w:space="0" w:color="000000"/>
            </w:tcBorders>
          </w:tcPr>
          <w:p w14:paraId="3D589C3E" w14:textId="77777777" w:rsidR="00406B58" w:rsidRDefault="00000000">
            <w:pPr>
              <w:spacing w:after="0" w:line="259" w:lineRule="auto"/>
              <w:ind w:left="0" w:right="0" w:firstLine="0"/>
              <w:jc w:val="left"/>
            </w:pPr>
            <w:r>
              <w:rPr>
                <w:color w:val="000000"/>
              </w:rPr>
              <w:t xml:space="preserve">132.25 </w:t>
            </w:r>
          </w:p>
        </w:tc>
        <w:tc>
          <w:tcPr>
            <w:tcW w:w="2021" w:type="dxa"/>
            <w:tcBorders>
              <w:top w:val="single" w:sz="4" w:space="0" w:color="000000"/>
              <w:left w:val="single" w:sz="4" w:space="0" w:color="000000"/>
              <w:bottom w:val="single" w:sz="4" w:space="0" w:color="000000"/>
              <w:right w:val="nil"/>
            </w:tcBorders>
          </w:tcPr>
          <w:p w14:paraId="0B6EBAA3" w14:textId="77777777" w:rsidR="00406B58" w:rsidRDefault="00000000">
            <w:pPr>
              <w:spacing w:after="0" w:line="259" w:lineRule="auto"/>
              <w:ind w:left="343" w:right="0" w:firstLine="0"/>
              <w:jc w:val="center"/>
            </w:pPr>
            <w:r>
              <w:rPr>
                <w:color w:val="000000"/>
              </w:rPr>
              <w:t xml:space="preserve">1.94 </w:t>
            </w:r>
          </w:p>
        </w:tc>
        <w:tc>
          <w:tcPr>
            <w:tcW w:w="398" w:type="dxa"/>
            <w:tcBorders>
              <w:top w:val="single" w:sz="4" w:space="0" w:color="000000"/>
              <w:left w:val="nil"/>
              <w:bottom w:val="single" w:sz="4" w:space="0" w:color="000000"/>
              <w:right w:val="single" w:sz="4" w:space="0" w:color="000000"/>
            </w:tcBorders>
          </w:tcPr>
          <w:p w14:paraId="31FAB6F6" w14:textId="77777777" w:rsidR="00406B58" w:rsidRDefault="00406B58">
            <w:pPr>
              <w:spacing w:after="160" w:line="259" w:lineRule="auto"/>
              <w:ind w:left="0" w:right="0" w:firstLine="0"/>
              <w:jc w:val="left"/>
            </w:pPr>
          </w:p>
        </w:tc>
      </w:tr>
      <w:tr w:rsidR="00406B58" w14:paraId="4C1FAEA8"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7E541A9C" w14:textId="77777777" w:rsidR="00406B58" w:rsidRDefault="00000000">
            <w:pPr>
              <w:spacing w:after="0" w:line="259" w:lineRule="auto"/>
              <w:ind w:left="0" w:right="0" w:firstLine="0"/>
              <w:jc w:val="left"/>
            </w:pPr>
            <w:r>
              <w:rPr>
                <w:color w:val="000000"/>
              </w:rPr>
              <w:t xml:space="preserve">9 </w:t>
            </w:r>
          </w:p>
        </w:tc>
        <w:tc>
          <w:tcPr>
            <w:tcW w:w="1136" w:type="dxa"/>
            <w:tcBorders>
              <w:top w:val="single" w:sz="4" w:space="0" w:color="000000"/>
              <w:left w:val="single" w:sz="4" w:space="0" w:color="000000"/>
              <w:bottom w:val="single" w:sz="4" w:space="0" w:color="000000"/>
              <w:right w:val="single" w:sz="4" w:space="0" w:color="000000"/>
            </w:tcBorders>
          </w:tcPr>
          <w:p w14:paraId="7B8DDCC3" w14:textId="77777777" w:rsidR="00406B58" w:rsidRDefault="00000000">
            <w:pPr>
              <w:spacing w:after="0" w:line="259" w:lineRule="auto"/>
              <w:ind w:left="0" w:right="0" w:firstLine="0"/>
              <w:jc w:val="left"/>
            </w:pPr>
            <w:r>
              <w:rPr>
                <w:color w:val="000000"/>
              </w:rPr>
              <w:t xml:space="preserve">63 </w:t>
            </w:r>
          </w:p>
        </w:tc>
        <w:tc>
          <w:tcPr>
            <w:tcW w:w="1134" w:type="dxa"/>
            <w:tcBorders>
              <w:top w:val="single" w:sz="4" w:space="0" w:color="000000"/>
              <w:left w:val="single" w:sz="4" w:space="0" w:color="000000"/>
              <w:bottom w:val="single" w:sz="4" w:space="0" w:color="000000"/>
              <w:right w:val="single" w:sz="4" w:space="0" w:color="000000"/>
            </w:tcBorders>
          </w:tcPr>
          <w:p w14:paraId="0C5B1C0E" w14:textId="77777777" w:rsidR="00406B58" w:rsidRDefault="00000000">
            <w:pPr>
              <w:spacing w:after="0" w:line="259" w:lineRule="auto"/>
              <w:ind w:left="0" w:right="0" w:firstLine="0"/>
              <w:jc w:val="left"/>
            </w:pPr>
            <w:r>
              <w:rPr>
                <w:color w:val="000000"/>
              </w:rPr>
              <w:t xml:space="preserve">56.6 </w:t>
            </w:r>
          </w:p>
        </w:tc>
        <w:tc>
          <w:tcPr>
            <w:tcW w:w="1131" w:type="dxa"/>
            <w:tcBorders>
              <w:top w:val="single" w:sz="4" w:space="0" w:color="000000"/>
              <w:left w:val="single" w:sz="4" w:space="0" w:color="000000"/>
              <w:bottom w:val="single" w:sz="4" w:space="0" w:color="000000"/>
              <w:right w:val="single" w:sz="4" w:space="0" w:color="000000"/>
            </w:tcBorders>
          </w:tcPr>
          <w:p w14:paraId="1E4FF844" w14:textId="77777777" w:rsidR="00406B58" w:rsidRDefault="00000000">
            <w:pPr>
              <w:spacing w:after="0" w:line="259" w:lineRule="auto"/>
              <w:ind w:left="0" w:right="0" w:firstLine="0"/>
              <w:jc w:val="left"/>
            </w:pPr>
            <w:r>
              <w:rPr>
                <w:color w:val="000000"/>
              </w:rPr>
              <w:t xml:space="preserve">6.4 </w:t>
            </w:r>
          </w:p>
        </w:tc>
        <w:tc>
          <w:tcPr>
            <w:tcW w:w="1158" w:type="dxa"/>
            <w:tcBorders>
              <w:top w:val="single" w:sz="4" w:space="0" w:color="000000"/>
              <w:left w:val="single" w:sz="4" w:space="0" w:color="000000"/>
              <w:bottom w:val="single" w:sz="4" w:space="0" w:color="000000"/>
              <w:right w:val="single" w:sz="4" w:space="0" w:color="000000"/>
            </w:tcBorders>
          </w:tcPr>
          <w:p w14:paraId="7CF3FE80" w14:textId="77777777" w:rsidR="00406B58" w:rsidRDefault="00000000">
            <w:pPr>
              <w:spacing w:after="0" w:line="259" w:lineRule="auto"/>
              <w:ind w:left="0" w:right="0" w:firstLine="0"/>
              <w:jc w:val="left"/>
            </w:pPr>
            <w:r>
              <w:rPr>
                <w:color w:val="000000"/>
              </w:rPr>
              <w:t xml:space="preserve">40.96 </w:t>
            </w:r>
          </w:p>
        </w:tc>
        <w:tc>
          <w:tcPr>
            <w:tcW w:w="2021" w:type="dxa"/>
            <w:tcBorders>
              <w:top w:val="single" w:sz="4" w:space="0" w:color="000000"/>
              <w:left w:val="single" w:sz="4" w:space="0" w:color="000000"/>
              <w:bottom w:val="single" w:sz="4" w:space="0" w:color="000000"/>
              <w:right w:val="nil"/>
            </w:tcBorders>
          </w:tcPr>
          <w:p w14:paraId="37775E60" w14:textId="77777777" w:rsidR="00406B58" w:rsidRDefault="00000000">
            <w:pPr>
              <w:spacing w:after="0" w:line="259" w:lineRule="auto"/>
              <w:ind w:left="343" w:right="0" w:firstLine="0"/>
              <w:jc w:val="center"/>
            </w:pPr>
            <w:r>
              <w:rPr>
                <w:color w:val="000000"/>
              </w:rPr>
              <w:t xml:space="preserve">0.65 </w:t>
            </w:r>
          </w:p>
        </w:tc>
        <w:tc>
          <w:tcPr>
            <w:tcW w:w="398" w:type="dxa"/>
            <w:tcBorders>
              <w:top w:val="single" w:sz="4" w:space="0" w:color="000000"/>
              <w:left w:val="nil"/>
              <w:bottom w:val="single" w:sz="4" w:space="0" w:color="000000"/>
              <w:right w:val="single" w:sz="4" w:space="0" w:color="000000"/>
            </w:tcBorders>
          </w:tcPr>
          <w:p w14:paraId="796C55AC" w14:textId="77777777" w:rsidR="00406B58" w:rsidRDefault="00406B58">
            <w:pPr>
              <w:spacing w:after="160" w:line="259" w:lineRule="auto"/>
              <w:ind w:left="0" w:right="0" w:firstLine="0"/>
              <w:jc w:val="left"/>
            </w:pPr>
          </w:p>
        </w:tc>
      </w:tr>
      <w:tr w:rsidR="00406B58" w14:paraId="0A2BBB34" w14:textId="77777777">
        <w:trPr>
          <w:trHeight w:val="288"/>
        </w:trPr>
        <w:tc>
          <w:tcPr>
            <w:tcW w:w="1148" w:type="dxa"/>
            <w:tcBorders>
              <w:top w:val="single" w:sz="4" w:space="0" w:color="000000"/>
              <w:left w:val="single" w:sz="4" w:space="0" w:color="000000"/>
              <w:bottom w:val="single" w:sz="4" w:space="0" w:color="000000"/>
              <w:right w:val="single" w:sz="4" w:space="0" w:color="000000"/>
            </w:tcBorders>
          </w:tcPr>
          <w:p w14:paraId="767C3094" w14:textId="77777777" w:rsidR="00406B58" w:rsidRDefault="00000000">
            <w:pPr>
              <w:spacing w:after="0" w:line="259" w:lineRule="auto"/>
              <w:ind w:left="0" w:right="0" w:firstLine="0"/>
              <w:jc w:val="left"/>
            </w:pPr>
            <w:r>
              <w:rPr>
                <w:color w:val="000000"/>
              </w:rPr>
              <w:lastRenderedPageBreak/>
              <w:t xml:space="preserve">10 </w:t>
            </w:r>
          </w:p>
        </w:tc>
        <w:tc>
          <w:tcPr>
            <w:tcW w:w="1136" w:type="dxa"/>
            <w:tcBorders>
              <w:top w:val="single" w:sz="4" w:space="0" w:color="000000"/>
              <w:left w:val="single" w:sz="4" w:space="0" w:color="000000"/>
              <w:bottom w:val="single" w:sz="4" w:space="0" w:color="000000"/>
              <w:right w:val="single" w:sz="4" w:space="0" w:color="000000"/>
            </w:tcBorders>
          </w:tcPr>
          <w:p w14:paraId="15609DE5" w14:textId="77777777" w:rsidR="00406B58" w:rsidRDefault="00000000">
            <w:pPr>
              <w:spacing w:after="0" w:line="259" w:lineRule="auto"/>
              <w:ind w:left="0" w:right="0" w:firstLine="0"/>
              <w:jc w:val="left"/>
            </w:pPr>
            <w:r>
              <w:rPr>
                <w:color w:val="000000"/>
              </w:rPr>
              <w:t xml:space="preserve">40 </w:t>
            </w:r>
          </w:p>
        </w:tc>
        <w:tc>
          <w:tcPr>
            <w:tcW w:w="1134" w:type="dxa"/>
            <w:tcBorders>
              <w:top w:val="single" w:sz="4" w:space="0" w:color="000000"/>
              <w:left w:val="single" w:sz="4" w:space="0" w:color="000000"/>
              <w:bottom w:val="single" w:sz="4" w:space="0" w:color="000000"/>
              <w:right w:val="single" w:sz="4" w:space="0" w:color="000000"/>
            </w:tcBorders>
          </w:tcPr>
          <w:p w14:paraId="3696250C" w14:textId="77777777" w:rsidR="00406B58" w:rsidRDefault="00000000">
            <w:pPr>
              <w:spacing w:after="0" w:line="259" w:lineRule="auto"/>
              <w:ind w:left="0" w:right="0" w:firstLine="0"/>
              <w:jc w:val="left"/>
            </w:pPr>
            <w:r>
              <w:rPr>
                <w:color w:val="000000"/>
              </w:rPr>
              <w:t xml:space="preserve">56.6 </w:t>
            </w:r>
          </w:p>
        </w:tc>
        <w:tc>
          <w:tcPr>
            <w:tcW w:w="1131" w:type="dxa"/>
            <w:tcBorders>
              <w:top w:val="single" w:sz="4" w:space="0" w:color="000000"/>
              <w:left w:val="single" w:sz="4" w:space="0" w:color="000000"/>
              <w:bottom w:val="single" w:sz="4" w:space="0" w:color="000000"/>
              <w:right w:val="single" w:sz="4" w:space="0" w:color="000000"/>
            </w:tcBorders>
          </w:tcPr>
          <w:p w14:paraId="39180272" w14:textId="77777777" w:rsidR="00406B58" w:rsidRDefault="00000000">
            <w:pPr>
              <w:spacing w:after="0" w:line="259" w:lineRule="auto"/>
              <w:ind w:left="0" w:right="0" w:firstLine="0"/>
              <w:jc w:val="left"/>
            </w:pPr>
            <w:r>
              <w:rPr>
                <w:color w:val="000000"/>
              </w:rPr>
              <w:t xml:space="preserve">-16.6 </w:t>
            </w:r>
          </w:p>
        </w:tc>
        <w:tc>
          <w:tcPr>
            <w:tcW w:w="1158" w:type="dxa"/>
            <w:tcBorders>
              <w:top w:val="single" w:sz="4" w:space="0" w:color="000000"/>
              <w:left w:val="single" w:sz="4" w:space="0" w:color="000000"/>
              <w:bottom w:val="single" w:sz="4" w:space="0" w:color="000000"/>
              <w:right w:val="single" w:sz="4" w:space="0" w:color="000000"/>
            </w:tcBorders>
          </w:tcPr>
          <w:p w14:paraId="69229505" w14:textId="77777777" w:rsidR="00406B58" w:rsidRDefault="00000000">
            <w:pPr>
              <w:spacing w:after="0" w:line="259" w:lineRule="auto"/>
              <w:ind w:left="0" w:right="0" w:firstLine="0"/>
              <w:jc w:val="left"/>
            </w:pPr>
            <w:r>
              <w:rPr>
                <w:color w:val="000000"/>
              </w:rPr>
              <w:t xml:space="preserve">275.56 </w:t>
            </w:r>
          </w:p>
        </w:tc>
        <w:tc>
          <w:tcPr>
            <w:tcW w:w="2021" w:type="dxa"/>
            <w:tcBorders>
              <w:top w:val="single" w:sz="4" w:space="0" w:color="000000"/>
              <w:left w:val="single" w:sz="4" w:space="0" w:color="000000"/>
              <w:bottom w:val="single" w:sz="4" w:space="0" w:color="000000"/>
              <w:right w:val="nil"/>
            </w:tcBorders>
          </w:tcPr>
          <w:p w14:paraId="6EBBD733" w14:textId="77777777" w:rsidR="00406B58" w:rsidRDefault="00000000">
            <w:pPr>
              <w:spacing w:after="0" w:line="259" w:lineRule="auto"/>
              <w:ind w:left="343" w:right="0" w:firstLine="0"/>
              <w:jc w:val="center"/>
            </w:pPr>
            <w:r>
              <w:rPr>
                <w:color w:val="000000"/>
              </w:rPr>
              <w:t xml:space="preserve">6.9 </w:t>
            </w:r>
          </w:p>
        </w:tc>
        <w:tc>
          <w:tcPr>
            <w:tcW w:w="398" w:type="dxa"/>
            <w:tcBorders>
              <w:top w:val="single" w:sz="4" w:space="0" w:color="000000"/>
              <w:left w:val="nil"/>
              <w:bottom w:val="single" w:sz="4" w:space="0" w:color="000000"/>
              <w:right w:val="single" w:sz="4" w:space="0" w:color="000000"/>
            </w:tcBorders>
          </w:tcPr>
          <w:p w14:paraId="373BBF6E" w14:textId="77777777" w:rsidR="00406B58" w:rsidRDefault="00406B58">
            <w:pPr>
              <w:spacing w:after="160" w:line="259" w:lineRule="auto"/>
              <w:ind w:left="0" w:right="0" w:firstLine="0"/>
              <w:jc w:val="left"/>
            </w:pPr>
          </w:p>
        </w:tc>
      </w:tr>
      <w:tr w:rsidR="00406B58" w14:paraId="5558AEE1"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4AB95E01" w14:textId="77777777" w:rsidR="00406B58" w:rsidRDefault="00000000">
            <w:pPr>
              <w:spacing w:after="0" w:line="259" w:lineRule="auto"/>
              <w:ind w:left="0" w:right="0" w:firstLine="0"/>
              <w:jc w:val="left"/>
            </w:pPr>
            <w:r>
              <w:rPr>
                <w:color w:val="000000"/>
              </w:rPr>
              <w:t xml:space="preserve">11 </w:t>
            </w:r>
          </w:p>
        </w:tc>
        <w:tc>
          <w:tcPr>
            <w:tcW w:w="1136" w:type="dxa"/>
            <w:tcBorders>
              <w:top w:val="single" w:sz="4" w:space="0" w:color="000000"/>
              <w:left w:val="single" w:sz="4" w:space="0" w:color="000000"/>
              <w:bottom w:val="single" w:sz="4" w:space="0" w:color="000000"/>
              <w:right w:val="single" w:sz="4" w:space="0" w:color="000000"/>
            </w:tcBorders>
          </w:tcPr>
          <w:p w14:paraId="44583B55" w14:textId="77777777" w:rsidR="00406B58" w:rsidRDefault="00000000">
            <w:pPr>
              <w:spacing w:after="0" w:line="259" w:lineRule="auto"/>
              <w:ind w:left="0" w:right="0" w:firstLine="0"/>
              <w:jc w:val="left"/>
            </w:pPr>
            <w:r>
              <w:rPr>
                <w:color w:val="000000"/>
              </w:rPr>
              <w:t xml:space="preserve">55 </w:t>
            </w:r>
          </w:p>
        </w:tc>
        <w:tc>
          <w:tcPr>
            <w:tcW w:w="1134" w:type="dxa"/>
            <w:tcBorders>
              <w:top w:val="single" w:sz="4" w:space="0" w:color="000000"/>
              <w:left w:val="single" w:sz="4" w:space="0" w:color="000000"/>
              <w:bottom w:val="single" w:sz="4" w:space="0" w:color="000000"/>
              <w:right w:val="single" w:sz="4" w:space="0" w:color="000000"/>
            </w:tcBorders>
          </w:tcPr>
          <w:p w14:paraId="07E90619" w14:textId="77777777" w:rsidR="00406B58" w:rsidRDefault="00000000">
            <w:pPr>
              <w:spacing w:after="0" w:line="259" w:lineRule="auto"/>
              <w:ind w:left="0" w:right="0" w:firstLine="0"/>
              <w:jc w:val="left"/>
            </w:pPr>
            <w:r>
              <w:rPr>
                <w:color w:val="000000"/>
              </w:rPr>
              <w:t xml:space="preserve">56.6 </w:t>
            </w:r>
          </w:p>
        </w:tc>
        <w:tc>
          <w:tcPr>
            <w:tcW w:w="1131" w:type="dxa"/>
            <w:tcBorders>
              <w:top w:val="single" w:sz="4" w:space="0" w:color="000000"/>
              <w:left w:val="single" w:sz="4" w:space="0" w:color="000000"/>
              <w:bottom w:val="single" w:sz="4" w:space="0" w:color="000000"/>
              <w:right w:val="single" w:sz="4" w:space="0" w:color="000000"/>
            </w:tcBorders>
          </w:tcPr>
          <w:p w14:paraId="119B94DF" w14:textId="77777777" w:rsidR="00406B58" w:rsidRDefault="00000000">
            <w:pPr>
              <w:spacing w:after="0" w:line="259" w:lineRule="auto"/>
              <w:ind w:left="0" w:right="0" w:firstLine="0"/>
              <w:jc w:val="left"/>
            </w:pPr>
            <w:r>
              <w:rPr>
                <w:color w:val="000000"/>
              </w:rPr>
              <w:t xml:space="preserve">-1.6 </w:t>
            </w:r>
          </w:p>
        </w:tc>
        <w:tc>
          <w:tcPr>
            <w:tcW w:w="1158" w:type="dxa"/>
            <w:tcBorders>
              <w:top w:val="single" w:sz="4" w:space="0" w:color="000000"/>
              <w:left w:val="single" w:sz="4" w:space="0" w:color="000000"/>
              <w:bottom w:val="single" w:sz="4" w:space="0" w:color="000000"/>
              <w:right w:val="single" w:sz="4" w:space="0" w:color="000000"/>
            </w:tcBorders>
          </w:tcPr>
          <w:p w14:paraId="18AAF3CC" w14:textId="77777777" w:rsidR="00406B58" w:rsidRDefault="00000000">
            <w:pPr>
              <w:spacing w:after="0" w:line="259" w:lineRule="auto"/>
              <w:ind w:left="0" w:right="0" w:firstLine="0"/>
              <w:jc w:val="left"/>
            </w:pPr>
            <w:r>
              <w:rPr>
                <w:color w:val="000000"/>
              </w:rPr>
              <w:t xml:space="preserve">2.56 </w:t>
            </w:r>
          </w:p>
        </w:tc>
        <w:tc>
          <w:tcPr>
            <w:tcW w:w="2021" w:type="dxa"/>
            <w:tcBorders>
              <w:top w:val="single" w:sz="4" w:space="0" w:color="000000"/>
              <w:left w:val="single" w:sz="4" w:space="0" w:color="000000"/>
              <w:bottom w:val="single" w:sz="4" w:space="0" w:color="000000"/>
              <w:right w:val="nil"/>
            </w:tcBorders>
          </w:tcPr>
          <w:p w14:paraId="7157A934" w14:textId="77777777" w:rsidR="00406B58" w:rsidRDefault="00000000">
            <w:pPr>
              <w:spacing w:after="0" w:line="259" w:lineRule="auto"/>
              <w:ind w:left="343" w:right="0" w:firstLine="0"/>
              <w:jc w:val="center"/>
            </w:pPr>
            <w:r>
              <w:rPr>
                <w:color w:val="000000"/>
              </w:rPr>
              <w:t xml:space="preserve">0.05 </w:t>
            </w:r>
          </w:p>
        </w:tc>
        <w:tc>
          <w:tcPr>
            <w:tcW w:w="398" w:type="dxa"/>
            <w:tcBorders>
              <w:top w:val="single" w:sz="4" w:space="0" w:color="000000"/>
              <w:left w:val="nil"/>
              <w:bottom w:val="single" w:sz="4" w:space="0" w:color="000000"/>
              <w:right w:val="single" w:sz="4" w:space="0" w:color="000000"/>
            </w:tcBorders>
          </w:tcPr>
          <w:p w14:paraId="4B0336C3" w14:textId="77777777" w:rsidR="00406B58" w:rsidRDefault="00406B58">
            <w:pPr>
              <w:spacing w:after="160" w:line="259" w:lineRule="auto"/>
              <w:ind w:left="0" w:right="0" w:firstLine="0"/>
              <w:jc w:val="left"/>
            </w:pPr>
          </w:p>
        </w:tc>
      </w:tr>
      <w:tr w:rsidR="00406B58" w14:paraId="25B006A7"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4639D7FD" w14:textId="77777777" w:rsidR="00406B58" w:rsidRDefault="00000000">
            <w:pPr>
              <w:spacing w:after="0" w:line="259" w:lineRule="auto"/>
              <w:ind w:left="0" w:right="0" w:firstLine="0"/>
              <w:jc w:val="left"/>
            </w:pPr>
            <w:r>
              <w:rPr>
                <w:color w:val="000000"/>
              </w:rPr>
              <w:t xml:space="preserve">12 </w:t>
            </w:r>
          </w:p>
        </w:tc>
        <w:tc>
          <w:tcPr>
            <w:tcW w:w="1136" w:type="dxa"/>
            <w:tcBorders>
              <w:top w:val="single" w:sz="4" w:space="0" w:color="000000"/>
              <w:left w:val="single" w:sz="4" w:space="0" w:color="000000"/>
              <w:bottom w:val="single" w:sz="4" w:space="0" w:color="000000"/>
              <w:right w:val="single" w:sz="4" w:space="0" w:color="000000"/>
            </w:tcBorders>
          </w:tcPr>
          <w:p w14:paraId="341FCE1E" w14:textId="77777777" w:rsidR="00406B58" w:rsidRDefault="00000000">
            <w:pPr>
              <w:spacing w:after="0" w:line="259" w:lineRule="auto"/>
              <w:ind w:left="0" w:right="0" w:firstLine="0"/>
              <w:jc w:val="left"/>
            </w:pPr>
            <w:r>
              <w:rPr>
                <w:color w:val="000000"/>
              </w:rPr>
              <w:t xml:space="preserve">66 </w:t>
            </w:r>
          </w:p>
        </w:tc>
        <w:tc>
          <w:tcPr>
            <w:tcW w:w="1134" w:type="dxa"/>
            <w:tcBorders>
              <w:top w:val="single" w:sz="4" w:space="0" w:color="000000"/>
              <w:left w:val="single" w:sz="4" w:space="0" w:color="000000"/>
              <w:bottom w:val="single" w:sz="4" w:space="0" w:color="000000"/>
              <w:right w:val="single" w:sz="4" w:space="0" w:color="000000"/>
            </w:tcBorders>
          </w:tcPr>
          <w:p w14:paraId="43331A22" w14:textId="77777777" w:rsidR="00406B58" w:rsidRDefault="00000000">
            <w:pPr>
              <w:spacing w:after="0" w:line="259" w:lineRule="auto"/>
              <w:ind w:left="0" w:right="0" w:firstLine="0"/>
              <w:jc w:val="left"/>
            </w:pPr>
            <w:r>
              <w:rPr>
                <w:color w:val="000000"/>
              </w:rPr>
              <w:t xml:space="preserve">56.6 </w:t>
            </w:r>
          </w:p>
        </w:tc>
        <w:tc>
          <w:tcPr>
            <w:tcW w:w="1131" w:type="dxa"/>
            <w:tcBorders>
              <w:top w:val="single" w:sz="4" w:space="0" w:color="000000"/>
              <w:left w:val="single" w:sz="4" w:space="0" w:color="000000"/>
              <w:bottom w:val="single" w:sz="4" w:space="0" w:color="000000"/>
              <w:right w:val="single" w:sz="4" w:space="0" w:color="000000"/>
            </w:tcBorders>
          </w:tcPr>
          <w:p w14:paraId="1A7E5DE6" w14:textId="77777777" w:rsidR="00406B58" w:rsidRDefault="00000000">
            <w:pPr>
              <w:spacing w:after="0" w:line="259" w:lineRule="auto"/>
              <w:ind w:left="0" w:right="0" w:firstLine="0"/>
              <w:jc w:val="left"/>
            </w:pPr>
            <w:r>
              <w:rPr>
                <w:color w:val="000000"/>
              </w:rPr>
              <w:t xml:space="preserve">9.4 </w:t>
            </w:r>
          </w:p>
        </w:tc>
        <w:tc>
          <w:tcPr>
            <w:tcW w:w="1158" w:type="dxa"/>
            <w:tcBorders>
              <w:top w:val="single" w:sz="4" w:space="0" w:color="000000"/>
              <w:left w:val="single" w:sz="4" w:space="0" w:color="000000"/>
              <w:bottom w:val="single" w:sz="4" w:space="0" w:color="000000"/>
              <w:right w:val="single" w:sz="4" w:space="0" w:color="000000"/>
            </w:tcBorders>
          </w:tcPr>
          <w:p w14:paraId="7CE50855" w14:textId="77777777" w:rsidR="00406B58" w:rsidRDefault="00000000">
            <w:pPr>
              <w:spacing w:after="0" w:line="259" w:lineRule="auto"/>
              <w:ind w:left="0" w:right="0" w:firstLine="0"/>
              <w:jc w:val="left"/>
            </w:pPr>
            <w:r>
              <w:rPr>
                <w:color w:val="000000"/>
              </w:rPr>
              <w:t xml:space="preserve">88.36 </w:t>
            </w:r>
          </w:p>
        </w:tc>
        <w:tc>
          <w:tcPr>
            <w:tcW w:w="2021" w:type="dxa"/>
            <w:tcBorders>
              <w:top w:val="single" w:sz="4" w:space="0" w:color="000000"/>
              <w:left w:val="single" w:sz="4" w:space="0" w:color="000000"/>
              <w:bottom w:val="single" w:sz="4" w:space="0" w:color="000000"/>
              <w:right w:val="nil"/>
            </w:tcBorders>
          </w:tcPr>
          <w:p w14:paraId="797DA587" w14:textId="77777777" w:rsidR="00406B58" w:rsidRDefault="00000000">
            <w:pPr>
              <w:spacing w:after="0" w:line="259" w:lineRule="auto"/>
              <w:ind w:left="343" w:right="0" w:firstLine="0"/>
              <w:jc w:val="center"/>
            </w:pPr>
            <w:r>
              <w:rPr>
                <w:color w:val="000000"/>
              </w:rPr>
              <w:t xml:space="preserve">1.34 </w:t>
            </w:r>
          </w:p>
        </w:tc>
        <w:tc>
          <w:tcPr>
            <w:tcW w:w="398" w:type="dxa"/>
            <w:tcBorders>
              <w:top w:val="single" w:sz="4" w:space="0" w:color="000000"/>
              <w:left w:val="nil"/>
              <w:bottom w:val="single" w:sz="4" w:space="0" w:color="000000"/>
              <w:right w:val="single" w:sz="4" w:space="0" w:color="000000"/>
            </w:tcBorders>
          </w:tcPr>
          <w:p w14:paraId="64442799" w14:textId="77777777" w:rsidR="00406B58" w:rsidRDefault="00406B58">
            <w:pPr>
              <w:spacing w:after="160" w:line="259" w:lineRule="auto"/>
              <w:ind w:left="0" w:right="0" w:firstLine="0"/>
              <w:jc w:val="left"/>
            </w:pPr>
          </w:p>
        </w:tc>
      </w:tr>
      <w:tr w:rsidR="00406B58" w14:paraId="6C29FAAA"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6CFC07FC" w14:textId="77777777" w:rsidR="00406B58" w:rsidRDefault="00000000">
            <w:pPr>
              <w:spacing w:after="0" w:line="259" w:lineRule="auto"/>
              <w:ind w:left="0" w:right="0" w:firstLine="0"/>
              <w:jc w:val="left"/>
            </w:pPr>
            <w:r>
              <w:rPr>
                <w:color w:val="000000"/>
              </w:rPr>
              <w:t xml:space="preserve">13 </w:t>
            </w:r>
          </w:p>
        </w:tc>
        <w:tc>
          <w:tcPr>
            <w:tcW w:w="1136" w:type="dxa"/>
            <w:tcBorders>
              <w:top w:val="single" w:sz="4" w:space="0" w:color="000000"/>
              <w:left w:val="single" w:sz="4" w:space="0" w:color="000000"/>
              <w:bottom w:val="single" w:sz="4" w:space="0" w:color="000000"/>
              <w:right w:val="single" w:sz="4" w:space="0" w:color="000000"/>
            </w:tcBorders>
          </w:tcPr>
          <w:p w14:paraId="1BCB4E27" w14:textId="77777777" w:rsidR="00406B58" w:rsidRDefault="00000000">
            <w:pPr>
              <w:spacing w:after="0" w:line="259" w:lineRule="auto"/>
              <w:ind w:left="0" w:right="0" w:firstLine="0"/>
              <w:jc w:val="left"/>
            </w:pPr>
            <w:r>
              <w:rPr>
                <w:color w:val="000000"/>
              </w:rPr>
              <w:t xml:space="preserve">44 </w:t>
            </w:r>
          </w:p>
        </w:tc>
        <w:tc>
          <w:tcPr>
            <w:tcW w:w="1134" w:type="dxa"/>
            <w:tcBorders>
              <w:top w:val="single" w:sz="4" w:space="0" w:color="000000"/>
              <w:left w:val="single" w:sz="4" w:space="0" w:color="000000"/>
              <w:bottom w:val="single" w:sz="4" w:space="0" w:color="000000"/>
              <w:right w:val="single" w:sz="4" w:space="0" w:color="000000"/>
            </w:tcBorders>
          </w:tcPr>
          <w:p w14:paraId="6181EE88" w14:textId="77777777" w:rsidR="00406B58" w:rsidRDefault="00000000">
            <w:pPr>
              <w:spacing w:after="0" w:line="259" w:lineRule="auto"/>
              <w:ind w:left="0" w:right="0" w:firstLine="0"/>
              <w:jc w:val="left"/>
            </w:pPr>
            <w:r>
              <w:rPr>
                <w:color w:val="000000"/>
              </w:rPr>
              <w:t xml:space="preserve">56.6 </w:t>
            </w:r>
          </w:p>
        </w:tc>
        <w:tc>
          <w:tcPr>
            <w:tcW w:w="1131" w:type="dxa"/>
            <w:tcBorders>
              <w:top w:val="single" w:sz="4" w:space="0" w:color="000000"/>
              <w:left w:val="single" w:sz="4" w:space="0" w:color="000000"/>
              <w:bottom w:val="single" w:sz="4" w:space="0" w:color="000000"/>
              <w:right w:val="single" w:sz="4" w:space="0" w:color="000000"/>
            </w:tcBorders>
          </w:tcPr>
          <w:p w14:paraId="50A8B25E" w14:textId="77777777" w:rsidR="00406B58" w:rsidRDefault="00000000">
            <w:pPr>
              <w:spacing w:after="0" w:line="259" w:lineRule="auto"/>
              <w:ind w:left="0" w:right="0" w:firstLine="0"/>
              <w:jc w:val="left"/>
            </w:pPr>
            <w:r>
              <w:rPr>
                <w:color w:val="000000"/>
              </w:rPr>
              <w:t xml:space="preserve">-12.6 </w:t>
            </w:r>
          </w:p>
        </w:tc>
        <w:tc>
          <w:tcPr>
            <w:tcW w:w="1158" w:type="dxa"/>
            <w:tcBorders>
              <w:top w:val="single" w:sz="4" w:space="0" w:color="000000"/>
              <w:left w:val="single" w:sz="4" w:space="0" w:color="000000"/>
              <w:bottom w:val="single" w:sz="4" w:space="0" w:color="000000"/>
              <w:right w:val="single" w:sz="4" w:space="0" w:color="000000"/>
            </w:tcBorders>
          </w:tcPr>
          <w:p w14:paraId="72CFAD9E" w14:textId="77777777" w:rsidR="00406B58" w:rsidRDefault="00000000">
            <w:pPr>
              <w:spacing w:after="0" w:line="259" w:lineRule="auto"/>
              <w:ind w:left="0" w:right="0" w:firstLine="0"/>
              <w:jc w:val="left"/>
            </w:pPr>
            <w:r>
              <w:rPr>
                <w:color w:val="000000"/>
              </w:rPr>
              <w:t xml:space="preserve">158.76 </w:t>
            </w:r>
          </w:p>
        </w:tc>
        <w:tc>
          <w:tcPr>
            <w:tcW w:w="2021" w:type="dxa"/>
            <w:tcBorders>
              <w:top w:val="single" w:sz="4" w:space="0" w:color="000000"/>
              <w:left w:val="single" w:sz="4" w:space="0" w:color="000000"/>
              <w:bottom w:val="single" w:sz="4" w:space="0" w:color="000000"/>
              <w:right w:val="nil"/>
            </w:tcBorders>
          </w:tcPr>
          <w:p w14:paraId="24446EB3" w14:textId="77777777" w:rsidR="00406B58" w:rsidRDefault="00000000">
            <w:pPr>
              <w:spacing w:after="0" w:line="259" w:lineRule="auto"/>
              <w:ind w:left="343" w:right="0" w:firstLine="0"/>
              <w:jc w:val="center"/>
            </w:pPr>
            <w:r>
              <w:rPr>
                <w:color w:val="000000"/>
              </w:rPr>
              <w:t xml:space="preserve">3.61 </w:t>
            </w:r>
          </w:p>
        </w:tc>
        <w:tc>
          <w:tcPr>
            <w:tcW w:w="398" w:type="dxa"/>
            <w:tcBorders>
              <w:top w:val="single" w:sz="4" w:space="0" w:color="000000"/>
              <w:left w:val="nil"/>
              <w:bottom w:val="single" w:sz="4" w:space="0" w:color="000000"/>
              <w:right w:val="single" w:sz="4" w:space="0" w:color="000000"/>
            </w:tcBorders>
          </w:tcPr>
          <w:p w14:paraId="70579CDF" w14:textId="77777777" w:rsidR="00406B58" w:rsidRDefault="00406B58">
            <w:pPr>
              <w:spacing w:after="160" w:line="259" w:lineRule="auto"/>
              <w:ind w:left="0" w:right="0" w:firstLine="0"/>
              <w:jc w:val="left"/>
            </w:pPr>
          </w:p>
        </w:tc>
      </w:tr>
      <w:tr w:rsidR="00406B58" w14:paraId="05772F40" w14:textId="77777777">
        <w:trPr>
          <w:trHeight w:val="285"/>
        </w:trPr>
        <w:tc>
          <w:tcPr>
            <w:tcW w:w="1148" w:type="dxa"/>
            <w:tcBorders>
              <w:top w:val="single" w:sz="4" w:space="0" w:color="000000"/>
              <w:left w:val="single" w:sz="4" w:space="0" w:color="000000"/>
              <w:bottom w:val="single" w:sz="4" w:space="0" w:color="000000"/>
              <w:right w:val="single" w:sz="4" w:space="0" w:color="000000"/>
            </w:tcBorders>
          </w:tcPr>
          <w:p w14:paraId="21823C14" w14:textId="77777777" w:rsidR="00406B58" w:rsidRDefault="00000000">
            <w:pPr>
              <w:spacing w:after="0" w:line="259" w:lineRule="auto"/>
              <w:ind w:left="0" w:right="0" w:firstLine="0"/>
              <w:jc w:val="left"/>
            </w:pPr>
            <w:r>
              <w:rPr>
                <w:color w:val="000000"/>
              </w:rPr>
              <w:t xml:space="preserve">14 </w:t>
            </w:r>
          </w:p>
        </w:tc>
        <w:tc>
          <w:tcPr>
            <w:tcW w:w="1136" w:type="dxa"/>
            <w:tcBorders>
              <w:top w:val="single" w:sz="4" w:space="0" w:color="000000"/>
              <w:left w:val="single" w:sz="4" w:space="0" w:color="000000"/>
              <w:bottom w:val="single" w:sz="4" w:space="0" w:color="000000"/>
              <w:right w:val="single" w:sz="4" w:space="0" w:color="000000"/>
            </w:tcBorders>
          </w:tcPr>
          <w:p w14:paraId="1C478989" w14:textId="77777777" w:rsidR="00406B58" w:rsidRDefault="00000000">
            <w:pPr>
              <w:spacing w:after="0" w:line="259" w:lineRule="auto"/>
              <w:ind w:left="0" w:right="0" w:firstLine="0"/>
              <w:jc w:val="left"/>
            </w:pPr>
            <w:r>
              <w:rPr>
                <w:color w:val="000000"/>
              </w:rPr>
              <w:t xml:space="preserve">60 </w:t>
            </w:r>
          </w:p>
        </w:tc>
        <w:tc>
          <w:tcPr>
            <w:tcW w:w="1134" w:type="dxa"/>
            <w:tcBorders>
              <w:top w:val="single" w:sz="4" w:space="0" w:color="000000"/>
              <w:left w:val="single" w:sz="4" w:space="0" w:color="000000"/>
              <w:bottom w:val="single" w:sz="4" w:space="0" w:color="000000"/>
              <w:right w:val="single" w:sz="4" w:space="0" w:color="000000"/>
            </w:tcBorders>
          </w:tcPr>
          <w:p w14:paraId="7F73FE12" w14:textId="77777777" w:rsidR="00406B58" w:rsidRDefault="00000000">
            <w:pPr>
              <w:spacing w:after="0" w:line="259" w:lineRule="auto"/>
              <w:ind w:left="0" w:right="0" w:firstLine="0"/>
              <w:jc w:val="left"/>
            </w:pPr>
            <w:r>
              <w:rPr>
                <w:color w:val="000000"/>
              </w:rPr>
              <w:t xml:space="preserve">56.6 </w:t>
            </w:r>
          </w:p>
        </w:tc>
        <w:tc>
          <w:tcPr>
            <w:tcW w:w="1131" w:type="dxa"/>
            <w:tcBorders>
              <w:top w:val="single" w:sz="4" w:space="0" w:color="000000"/>
              <w:left w:val="single" w:sz="4" w:space="0" w:color="000000"/>
              <w:bottom w:val="single" w:sz="4" w:space="0" w:color="000000"/>
              <w:right w:val="single" w:sz="4" w:space="0" w:color="000000"/>
            </w:tcBorders>
          </w:tcPr>
          <w:p w14:paraId="1FE6E650" w14:textId="77777777" w:rsidR="00406B58" w:rsidRDefault="00000000">
            <w:pPr>
              <w:spacing w:after="0" w:line="259" w:lineRule="auto"/>
              <w:ind w:left="0" w:right="0" w:firstLine="0"/>
              <w:jc w:val="left"/>
            </w:pPr>
            <w:r>
              <w:rPr>
                <w:color w:val="000000"/>
              </w:rPr>
              <w:t xml:space="preserve">3.4 </w:t>
            </w:r>
          </w:p>
        </w:tc>
        <w:tc>
          <w:tcPr>
            <w:tcW w:w="1158" w:type="dxa"/>
            <w:tcBorders>
              <w:top w:val="single" w:sz="4" w:space="0" w:color="000000"/>
              <w:left w:val="single" w:sz="4" w:space="0" w:color="000000"/>
              <w:bottom w:val="single" w:sz="4" w:space="0" w:color="000000"/>
              <w:right w:val="single" w:sz="4" w:space="0" w:color="000000"/>
            </w:tcBorders>
          </w:tcPr>
          <w:p w14:paraId="781E4295" w14:textId="77777777" w:rsidR="00406B58" w:rsidRDefault="00000000">
            <w:pPr>
              <w:spacing w:after="0" w:line="259" w:lineRule="auto"/>
              <w:ind w:left="0" w:right="0" w:firstLine="0"/>
              <w:jc w:val="left"/>
            </w:pPr>
            <w:r>
              <w:rPr>
                <w:color w:val="000000"/>
              </w:rPr>
              <w:t xml:space="preserve">11.56 </w:t>
            </w:r>
          </w:p>
        </w:tc>
        <w:tc>
          <w:tcPr>
            <w:tcW w:w="2021" w:type="dxa"/>
            <w:tcBorders>
              <w:top w:val="single" w:sz="4" w:space="0" w:color="000000"/>
              <w:left w:val="single" w:sz="4" w:space="0" w:color="000000"/>
              <w:bottom w:val="single" w:sz="4" w:space="0" w:color="000000"/>
              <w:right w:val="nil"/>
            </w:tcBorders>
          </w:tcPr>
          <w:p w14:paraId="3BED3ED2" w14:textId="77777777" w:rsidR="00406B58" w:rsidRDefault="00000000">
            <w:pPr>
              <w:spacing w:after="0" w:line="259" w:lineRule="auto"/>
              <w:ind w:left="343" w:right="0" w:firstLine="0"/>
              <w:jc w:val="center"/>
            </w:pPr>
            <w:r>
              <w:rPr>
                <w:color w:val="000000"/>
              </w:rPr>
              <w:t xml:space="preserve">0.19 </w:t>
            </w:r>
          </w:p>
        </w:tc>
        <w:tc>
          <w:tcPr>
            <w:tcW w:w="398" w:type="dxa"/>
            <w:tcBorders>
              <w:top w:val="single" w:sz="4" w:space="0" w:color="000000"/>
              <w:left w:val="nil"/>
              <w:bottom w:val="single" w:sz="4" w:space="0" w:color="000000"/>
              <w:right w:val="single" w:sz="4" w:space="0" w:color="000000"/>
            </w:tcBorders>
          </w:tcPr>
          <w:p w14:paraId="178FDF53" w14:textId="77777777" w:rsidR="00406B58" w:rsidRDefault="00406B58">
            <w:pPr>
              <w:spacing w:after="160" w:line="259" w:lineRule="auto"/>
              <w:ind w:left="0" w:right="0" w:firstLine="0"/>
              <w:jc w:val="left"/>
            </w:pPr>
          </w:p>
        </w:tc>
      </w:tr>
      <w:tr w:rsidR="00406B58" w14:paraId="4546226E" w14:textId="77777777">
        <w:trPr>
          <w:trHeight w:val="288"/>
        </w:trPr>
        <w:tc>
          <w:tcPr>
            <w:tcW w:w="1148" w:type="dxa"/>
            <w:tcBorders>
              <w:top w:val="single" w:sz="4" w:space="0" w:color="000000"/>
              <w:left w:val="single" w:sz="4" w:space="0" w:color="000000"/>
              <w:bottom w:val="single" w:sz="4" w:space="0" w:color="000000"/>
              <w:right w:val="single" w:sz="4" w:space="0" w:color="000000"/>
            </w:tcBorders>
          </w:tcPr>
          <w:p w14:paraId="485C514A" w14:textId="77777777" w:rsidR="00406B58" w:rsidRDefault="00000000">
            <w:pPr>
              <w:spacing w:after="0" w:line="259" w:lineRule="auto"/>
              <w:ind w:left="0" w:right="0" w:firstLine="0"/>
              <w:jc w:val="left"/>
            </w:pPr>
            <w:r>
              <w:rPr>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8A74FB7" w14:textId="77777777" w:rsidR="00406B58" w:rsidRDefault="00000000">
            <w:pPr>
              <w:spacing w:after="0" w:line="259" w:lineRule="auto"/>
              <w:ind w:left="0" w:right="0" w:firstLine="0"/>
              <w:jc w:val="left"/>
            </w:pPr>
            <w:r>
              <w:rPr>
                <w:color w:val="000000"/>
              </w:rPr>
              <w:t xml:space="preserve">1050 </w:t>
            </w:r>
          </w:p>
        </w:tc>
        <w:tc>
          <w:tcPr>
            <w:tcW w:w="1134" w:type="dxa"/>
            <w:tcBorders>
              <w:top w:val="single" w:sz="4" w:space="0" w:color="000000"/>
              <w:left w:val="single" w:sz="4" w:space="0" w:color="000000"/>
              <w:bottom w:val="single" w:sz="4" w:space="0" w:color="000000"/>
              <w:right w:val="single" w:sz="4" w:space="0" w:color="000000"/>
            </w:tcBorders>
          </w:tcPr>
          <w:p w14:paraId="65A9CC10" w14:textId="77777777" w:rsidR="00406B58" w:rsidRDefault="00000000">
            <w:pPr>
              <w:spacing w:after="0" w:line="259" w:lineRule="auto"/>
              <w:ind w:left="0" w:right="0" w:firstLine="0"/>
              <w:jc w:val="left"/>
            </w:pPr>
            <w:r>
              <w:rPr>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3E065E93" w14:textId="77777777" w:rsidR="00406B58" w:rsidRDefault="00000000">
            <w:pPr>
              <w:spacing w:after="0" w:line="259" w:lineRule="auto"/>
              <w:ind w:left="0" w:right="0" w:firstLine="0"/>
              <w:jc w:val="left"/>
            </w:pPr>
            <w:r>
              <w:rPr>
                <w:color w:val="000000"/>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1567024D" w14:textId="77777777" w:rsidR="00406B58" w:rsidRDefault="00000000">
            <w:pPr>
              <w:spacing w:after="0" w:line="259" w:lineRule="auto"/>
              <w:ind w:left="0" w:right="0" w:firstLine="0"/>
              <w:jc w:val="left"/>
            </w:pPr>
            <w:r>
              <w:rPr>
                <w:color w:val="000000"/>
              </w:rPr>
              <w:t xml:space="preserve"> </w:t>
            </w:r>
          </w:p>
        </w:tc>
        <w:tc>
          <w:tcPr>
            <w:tcW w:w="2021" w:type="dxa"/>
            <w:tcBorders>
              <w:top w:val="single" w:sz="4" w:space="0" w:color="000000"/>
              <w:left w:val="single" w:sz="4" w:space="0" w:color="000000"/>
              <w:bottom w:val="single" w:sz="4" w:space="0" w:color="000000"/>
              <w:right w:val="nil"/>
            </w:tcBorders>
          </w:tcPr>
          <w:p w14:paraId="2BCFEFBB" w14:textId="77777777" w:rsidR="00406B58" w:rsidRDefault="00000000">
            <w:pPr>
              <w:spacing w:after="0" w:line="259" w:lineRule="auto"/>
              <w:ind w:left="343" w:right="0" w:firstLine="0"/>
              <w:jc w:val="center"/>
            </w:pPr>
            <w:r>
              <w:rPr>
                <w:color w:val="000000"/>
              </w:rPr>
              <w:t xml:space="preserve">21.94 </w:t>
            </w:r>
          </w:p>
        </w:tc>
        <w:tc>
          <w:tcPr>
            <w:tcW w:w="398" w:type="dxa"/>
            <w:tcBorders>
              <w:top w:val="single" w:sz="4" w:space="0" w:color="000000"/>
              <w:left w:val="nil"/>
              <w:bottom w:val="single" w:sz="4" w:space="0" w:color="000000"/>
              <w:right w:val="single" w:sz="4" w:space="0" w:color="000000"/>
            </w:tcBorders>
          </w:tcPr>
          <w:p w14:paraId="632CB5C5" w14:textId="77777777" w:rsidR="00406B58" w:rsidRDefault="00406B58">
            <w:pPr>
              <w:spacing w:after="160" w:line="259" w:lineRule="auto"/>
              <w:ind w:left="0" w:right="0" w:firstLine="0"/>
              <w:jc w:val="left"/>
            </w:pPr>
          </w:p>
        </w:tc>
      </w:tr>
    </w:tbl>
    <w:p w14:paraId="2EA3A3F6" w14:textId="77777777" w:rsidR="00406B58" w:rsidRDefault="00000000">
      <w:pPr>
        <w:spacing w:after="0" w:line="259" w:lineRule="auto"/>
        <w:ind w:left="306" w:right="0" w:firstLine="0"/>
        <w:jc w:val="left"/>
      </w:pPr>
      <w:r>
        <w:rPr>
          <w:rFonts w:ascii="Calibri" w:eastAsia="Calibri" w:hAnsi="Calibri" w:cs="Calibri"/>
          <w:color w:val="000000"/>
          <w:sz w:val="22"/>
        </w:rPr>
        <w:t xml:space="preserve"> </w:t>
      </w:r>
    </w:p>
    <w:p w14:paraId="56D5F194" w14:textId="77777777" w:rsidR="00406B58" w:rsidRDefault="00000000">
      <w:pPr>
        <w:pStyle w:val="Heading2"/>
        <w:ind w:left="3" w:right="1"/>
      </w:pPr>
      <w:r>
        <w:t>Decision table analysis</w:t>
      </w:r>
    </w:p>
    <w:tbl>
      <w:tblPr>
        <w:tblStyle w:val="TableGrid"/>
        <w:tblW w:w="8449" w:type="dxa"/>
        <w:tblInd w:w="149" w:type="dxa"/>
        <w:tblCellMar>
          <w:top w:w="54" w:type="dxa"/>
          <w:left w:w="108" w:type="dxa"/>
          <w:bottom w:w="0" w:type="dxa"/>
          <w:right w:w="47" w:type="dxa"/>
        </w:tblCellMar>
        <w:tblLook w:val="04A0" w:firstRow="1" w:lastRow="0" w:firstColumn="1" w:lastColumn="0" w:noHBand="0" w:noVBand="1"/>
      </w:tblPr>
      <w:tblGrid>
        <w:gridCol w:w="1439"/>
        <w:gridCol w:w="719"/>
        <w:gridCol w:w="1977"/>
        <w:gridCol w:w="1855"/>
        <w:gridCol w:w="489"/>
        <w:gridCol w:w="1970"/>
      </w:tblGrid>
      <w:tr w:rsidR="00406B58" w14:paraId="47407871" w14:textId="77777777">
        <w:trPr>
          <w:trHeight w:val="561"/>
        </w:trPr>
        <w:tc>
          <w:tcPr>
            <w:tcW w:w="1438" w:type="dxa"/>
            <w:tcBorders>
              <w:top w:val="single" w:sz="4" w:space="0" w:color="000000"/>
              <w:left w:val="single" w:sz="4" w:space="0" w:color="000000"/>
              <w:bottom w:val="single" w:sz="4" w:space="0" w:color="000000"/>
              <w:right w:val="single" w:sz="4" w:space="0" w:color="000000"/>
            </w:tcBorders>
          </w:tcPr>
          <w:p w14:paraId="68A1931B" w14:textId="77777777" w:rsidR="00406B58" w:rsidRDefault="00000000">
            <w:pPr>
              <w:spacing w:after="0" w:line="259" w:lineRule="auto"/>
              <w:ind w:left="0" w:right="0" w:firstLine="0"/>
              <w:jc w:val="left"/>
            </w:pPr>
            <w:r>
              <w:rPr>
                <w:b/>
                <w:color w:val="000000"/>
              </w:rPr>
              <w:t xml:space="preserve">Group </w:t>
            </w:r>
          </w:p>
        </w:tc>
        <w:tc>
          <w:tcPr>
            <w:tcW w:w="719" w:type="dxa"/>
            <w:tcBorders>
              <w:top w:val="single" w:sz="4" w:space="0" w:color="000000"/>
              <w:left w:val="single" w:sz="4" w:space="0" w:color="000000"/>
              <w:bottom w:val="single" w:sz="4" w:space="0" w:color="000000"/>
              <w:right w:val="single" w:sz="4" w:space="0" w:color="000000"/>
            </w:tcBorders>
          </w:tcPr>
          <w:p w14:paraId="19955292" w14:textId="77777777" w:rsidR="00406B58" w:rsidRDefault="00000000">
            <w:pPr>
              <w:spacing w:after="0" w:line="259" w:lineRule="auto"/>
              <w:ind w:left="0" w:right="0" w:firstLine="0"/>
              <w:jc w:val="left"/>
            </w:pPr>
            <w:r>
              <w:rPr>
                <w:b/>
                <w:color w:val="000000"/>
              </w:rPr>
              <w:t xml:space="preserve">Size </w:t>
            </w:r>
          </w:p>
        </w:tc>
        <w:tc>
          <w:tcPr>
            <w:tcW w:w="1977" w:type="dxa"/>
            <w:tcBorders>
              <w:top w:val="single" w:sz="4" w:space="0" w:color="000000"/>
              <w:left w:val="single" w:sz="4" w:space="0" w:color="000000"/>
              <w:bottom w:val="single" w:sz="4" w:space="0" w:color="000000"/>
              <w:right w:val="single" w:sz="4" w:space="0" w:color="000000"/>
            </w:tcBorders>
          </w:tcPr>
          <w:p w14:paraId="108D63C3" w14:textId="77777777" w:rsidR="00406B58" w:rsidRDefault="00000000">
            <w:pPr>
              <w:spacing w:after="0" w:line="259" w:lineRule="auto"/>
              <w:ind w:left="0" w:right="0" w:firstLine="0"/>
              <w:jc w:val="left"/>
            </w:pPr>
            <w:r>
              <w:rPr>
                <w:b/>
                <w:color w:val="000000"/>
              </w:rPr>
              <w:t>X</w:t>
            </w:r>
            <w:r>
              <w:rPr>
                <w:b/>
                <w:color w:val="000000"/>
                <w:vertAlign w:val="superscript"/>
              </w:rPr>
              <w:t xml:space="preserve">2 </w:t>
            </w:r>
            <w:r>
              <w:rPr>
                <w:b/>
                <w:color w:val="000000"/>
              </w:rPr>
              <w:t xml:space="preserve">calculated </w:t>
            </w:r>
          </w:p>
        </w:tc>
        <w:tc>
          <w:tcPr>
            <w:tcW w:w="1855" w:type="dxa"/>
            <w:tcBorders>
              <w:top w:val="single" w:sz="4" w:space="0" w:color="000000"/>
              <w:left w:val="single" w:sz="4" w:space="0" w:color="000000"/>
              <w:bottom w:val="single" w:sz="4" w:space="0" w:color="000000"/>
              <w:right w:val="single" w:sz="4" w:space="0" w:color="000000"/>
            </w:tcBorders>
          </w:tcPr>
          <w:p w14:paraId="1B38F693" w14:textId="77777777" w:rsidR="00406B58" w:rsidRDefault="00000000">
            <w:pPr>
              <w:spacing w:after="0" w:line="259" w:lineRule="auto"/>
              <w:ind w:left="0" w:right="0" w:firstLine="0"/>
              <w:jc w:val="left"/>
            </w:pPr>
            <w:r>
              <w:rPr>
                <w:b/>
                <w:color w:val="000000"/>
              </w:rPr>
              <w:t xml:space="preserve">X2 tabulated </w:t>
            </w:r>
          </w:p>
        </w:tc>
        <w:tc>
          <w:tcPr>
            <w:tcW w:w="489" w:type="dxa"/>
            <w:tcBorders>
              <w:top w:val="single" w:sz="4" w:space="0" w:color="000000"/>
              <w:left w:val="single" w:sz="4" w:space="0" w:color="000000"/>
              <w:bottom w:val="single" w:sz="4" w:space="0" w:color="000000"/>
              <w:right w:val="single" w:sz="4" w:space="0" w:color="000000"/>
            </w:tcBorders>
          </w:tcPr>
          <w:p w14:paraId="73582ADC" w14:textId="77777777" w:rsidR="00406B58" w:rsidRDefault="00000000">
            <w:pPr>
              <w:spacing w:after="0" w:line="259" w:lineRule="auto"/>
              <w:ind w:left="0" w:right="0" w:firstLine="0"/>
              <w:jc w:val="left"/>
            </w:pPr>
            <w:r>
              <w:rPr>
                <w:b/>
                <w:color w:val="000000"/>
              </w:rPr>
              <w:t xml:space="preserve">Df </w:t>
            </w:r>
          </w:p>
        </w:tc>
        <w:tc>
          <w:tcPr>
            <w:tcW w:w="1970" w:type="dxa"/>
            <w:tcBorders>
              <w:top w:val="single" w:sz="4" w:space="0" w:color="000000"/>
              <w:left w:val="single" w:sz="4" w:space="0" w:color="000000"/>
              <w:bottom w:val="single" w:sz="4" w:space="0" w:color="000000"/>
              <w:right w:val="single" w:sz="4" w:space="0" w:color="000000"/>
            </w:tcBorders>
          </w:tcPr>
          <w:p w14:paraId="18712260" w14:textId="77777777" w:rsidR="00406B58" w:rsidRDefault="00000000">
            <w:pPr>
              <w:spacing w:after="0" w:line="259" w:lineRule="auto"/>
              <w:ind w:left="0" w:right="0" w:firstLine="0"/>
              <w:jc w:val="left"/>
            </w:pPr>
            <w:r>
              <w:rPr>
                <w:b/>
                <w:color w:val="000000"/>
              </w:rPr>
              <w:t xml:space="preserve">Decision of </w:t>
            </w:r>
            <w:r>
              <w:rPr>
                <w:b/>
                <w:color w:val="000000"/>
              </w:rPr>
              <w:tab/>
              <w:t xml:space="preserve">the hypothesis </w:t>
            </w:r>
          </w:p>
        </w:tc>
      </w:tr>
      <w:tr w:rsidR="00406B58" w14:paraId="56821E7C" w14:textId="77777777">
        <w:trPr>
          <w:trHeight w:val="285"/>
        </w:trPr>
        <w:tc>
          <w:tcPr>
            <w:tcW w:w="1438" w:type="dxa"/>
            <w:tcBorders>
              <w:top w:val="single" w:sz="4" w:space="0" w:color="000000"/>
              <w:left w:val="single" w:sz="4" w:space="0" w:color="000000"/>
              <w:bottom w:val="single" w:sz="4" w:space="0" w:color="000000"/>
              <w:right w:val="single" w:sz="4" w:space="0" w:color="000000"/>
            </w:tcBorders>
          </w:tcPr>
          <w:p w14:paraId="0F597067" w14:textId="77777777" w:rsidR="00406B58" w:rsidRDefault="00000000">
            <w:pPr>
              <w:spacing w:after="0" w:line="259" w:lineRule="auto"/>
              <w:ind w:left="0" w:right="0" w:firstLine="0"/>
              <w:jc w:val="left"/>
            </w:pPr>
            <w:r>
              <w:rPr>
                <w:color w:val="000000"/>
              </w:rPr>
              <w:t xml:space="preserve">Agree </w:t>
            </w:r>
          </w:p>
        </w:tc>
        <w:tc>
          <w:tcPr>
            <w:tcW w:w="719" w:type="dxa"/>
            <w:tcBorders>
              <w:top w:val="single" w:sz="4" w:space="0" w:color="000000"/>
              <w:left w:val="single" w:sz="4" w:space="0" w:color="000000"/>
              <w:bottom w:val="single" w:sz="4" w:space="0" w:color="000000"/>
              <w:right w:val="single" w:sz="4" w:space="0" w:color="000000"/>
            </w:tcBorders>
          </w:tcPr>
          <w:p w14:paraId="7539E1BA" w14:textId="77777777" w:rsidR="00406B58" w:rsidRDefault="00000000">
            <w:pPr>
              <w:spacing w:after="0" w:line="259" w:lineRule="auto"/>
              <w:ind w:left="0" w:right="0" w:firstLine="0"/>
              <w:jc w:val="left"/>
            </w:pPr>
            <w:r>
              <w:rPr>
                <w:color w:val="000000"/>
              </w:rPr>
              <w:t xml:space="preserve">654 </w:t>
            </w:r>
          </w:p>
        </w:tc>
        <w:tc>
          <w:tcPr>
            <w:tcW w:w="1977" w:type="dxa"/>
            <w:vMerge w:val="restart"/>
            <w:tcBorders>
              <w:top w:val="single" w:sz="4" w:space="0" w:color="000000"/>
              <w:left w:val="single" w:sz="4" w:space="0" w:color="000000"/>
              <w:bottom w:val="single" w:sz="4" w:space="0" w:color="000000"/>
              <w:right w:val="single" w:sz="4" w:space="0" w:color="000000"/>
            </w:tcBorders>
          </w:tcPr>
          <w:p w14:paraId="48959342" w14:textId="77777777" w:rsidR="00406B58" w:rsidRDefault="00000000">
            <w:pPr>
              <w:spacing w:after="0" w:line="259" w:lineRule="auto"/>
              <w:ind w:left="0" w:right="0" w:firstLine="0"/>
              <w:jc w:val="left"/>
            </w:pPr>
            <w:r>
              <w:rPr>
                <w:color w:val="000000"/>
              </w:rPr>
              <w:t xml:space="preserve">21.94 </w:t>
            </w:r>
          </w:p>
        </w:tc>
        <w:tc>
          <w:tcPr>
            <w:tcW w:w="1855" w:type="dxa"/>
            <w:vMerge w:val="restart"/>
            <w:tcBorders>
              <w:top w:val="single" w:sz="4" w:space="0" w:color="000000"/>
              <w:left w:val="single" w:sz="4" w:space="0" w:color="000000"/>
              <w:bottom w:val="single" w:sz="4" w:space="0" w:color="000000"/>
              <w:right w:val="single" w:sz="4" w:space="0" w:color="000000"/>
            </w:tcBorders>
          </w:tcPr>
          <w:p w14:paraId="2D3F1A07" w14:textId="77777777" w:rsidR="00406B58" w:rsidRDefault="00000000">
            <w:pPr>
              <w:spacing w:after="0" w:line="259" w:lineRule="auto"/>
              <w:ind w:left="0" w:right="0" w:firstLine="0"/>
              <w:jc w:val="left"/>
            </w:pPr>
            <w:r>
              <w:rPr>
                <w:color w:val="000000"/>
              </w:rPr>
              <w:t xml:space="preserve">12.59 </w:t>
            </w:r>
          </w:p>
        </w:tc>
        <w:tc>
          <w:tcPr>
            <w:tcW w:w="489" w:type="dxa"/>
            <w:vMerge w:val="restart"/>
            <w:tcBorders>
              <w:top w:val="single" w:sz="4" w:space="0" w:color="000000"/>
              <w:left w:val="single" w:sz="4" w:space="0" w:color="000000"/>
              <w:bottom w:val="single" w:sz="4" w:space="0" w:color="000000"/>
              <w:right w:val="single" w:sz="4" w:space="0" w:color="000000"/>
            </w:tcBorders>
          </w:tcPr>
          <w:p w14:paraId="68D64A38" w14:textId="77777777" w:rsidR="00406B58" w:rsidRDefault="00000000">
            <w:pPr>
              <w:spacing w:after="0" w:line="259" w:lineRule="auto"/>
              <w:ind w:left="0" w:right="0" w:firstLine="0"/>
              <w:jc w:val="left"/>
            </w:pPr>
            <w:r>
              <w:rPr>
                <w:color w:val="000000"/>
              </w:rPr>
              <w:t xml:space="preserve">6 </w:t>
            </w:r>
          </w:p>
        </w:tc>
        <w:tc>
          <w:tcPr>
            <w:tcW w:w="1970" w:type="dxa"/>
            <w:vMerge w:val="restart"/>
            <w:tcBorders>
              <w:top w:val="single" w:sz="4" w:space="0" w:color="000000"/>
              <w:left w:val="single" w:sz="4" w:space="0" w:color="000000"/>
              <w:bottom w:val="single" w:sz="4" w:space="0" w:color="000000"/>
              <w:right w:val="single" w:sz="4" w:space="0" w:color="000000"/>
            </w:tcBorders>
          </w:tcPr>
          <w:p w14:paraId="7FEA31B6" w14:textId="77777777" w:rsidR="00406B58" w:rsidRDefault="00000000">
            <w:pPr>
              <w:spacing w:after="0" w:line="259" w:lineRule="auto"/>
              <w:ind w:left="0" w:right="0" w:firstLine="0"/>
              <w:jc w:val="left"/>
            </w:pPr>
            <w:r>
              <w:rPr>
                <w:color w:val="000000"/>
              </w:rPr>
              <w:t xml:space="preserve">The hypothesis rejected </w:t>
            </w:r>
          </w:p>
        </w:tc>
      </w:tr>
      <w:tr w:rsidR="00406B58" w14:paraId="14FE06E1" w14:textId="77777777">
        <w:trPr>
          <w:trHeight w:val="285"/>
        </w:trPr>
        <w:tc>
          <w:tcPr>
            <w:tcW w:w="1438" w:type="dxa"/>
            <w:tcBorders>
              <w:top w:val="single" w:sz="4" w:space="0" w:color="000000"/>
              <w:left w:val="single" w:sz="4" w:space="0" w:color="000000"/>
              <w:bottom w:val="single" w:sz="4" w:space="0" w:color="000000"/>
              <w:right w:val="single" w:sz="4" w:space="0" w:color="000000"/>
            </w:tcBorders>
          </w:tcPr>
          <w:p w14:paraId="58D84F31" w14:textId="77777777" w:rsidR="00406B58" w:rsidRDefault="00000000">
            <w:pPr>
              <w:spacing w:after="0" w:line="259" w:lineRule="auto"/>
              <w:ind w:left="0" w:right="0" w:firstLine="0"/>
              <w:jc w:val="left"/>
            </w:pPr>
            <w:r>
              <w:rPr>
                <w:color w:val="000000"/>
              </w:rPr>
              <w:t xml:space="preserve">Disagree </w:t>
            </w:r>
          </w:p>
        </w:tc>
        <w:tc>
          <w:tcPr>
            <w:tcW w:w="719" w:type="dxa"/>
            <w:tcBorders>
              <w:top w:val="single" w:sz="4" w:space="0" w:color="000000"/>
              <w:left w:val="single" w:sz="4" w:space="0" w:color="000000"/>
              <w:bottom w:val="single" w:sz="4" w:space="0" w:color="000000"/>
              <w:right w:val="single" w:sz="4" w:space="0" w:color="000000"/>
            </w:tcBorders>
          </w:tcPr>
          <w:p w14:paraId="7D62E3F6" w14:textId="77777777" w:rsidR="00406B58" w:rsidRDefault="00000000">
            <w:pPr>
              <w:spacing w:after="0" w:line="259" w:lineRule="auto"/>
              <w:ind w:left="0" w:right="0" w:firstLine="0"/>
              <w:jc w:val="left"/>
            </w:pPr>
            <w:r>
              <w:rPr>
                <w:color w:val="000000"/>
              </w:rPr>
              <w:t xml:space="preserve">396 </w:t>
            </w:r>
          </w:p>
        </w:tc>
        <w:tc>
          <w:tcPr>
            <w:tcW w:w="0" w:type="auto"/>
            <w:vMerge/>
            <w:tcBorders>
              <w:top w:val="nil"/>
              <w:left w:val="single" w:sz="4" w:space="0" w:color="000000"/>
              <w:bottom w:val="single" w:sz="4" w:space="0" w:color="000000"/>
              <w:right w:val="single" w:sz="4" w:space="0" w:color="000000"/>
            </w:tcBorders>
          </w:tcPr>
          <w:p w14:paraId="55D05A6A"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5296CB3"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13BE0DA"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12DCC29" w14:textId="77777777" w:rsidR="00406B58" w:rsidRDefault="00406B58">
            <w:pPr>
              <w:spacing w:after="160" w:line="259" w:lineRule="auto"/>
              <w:ind w:left="0" w:right="0" w:firstLine="0"/>
              <w:jc w:val="left"/>
            </w:pPr>
          </w:p>
        </w:tc>
      </w:tr>
    </w:tbl>
    <w:p w14:paraId="705AB23D" w14:textId="77777777" w:rsidR="00406B58" w:rsidRDefault="00000000">
      <w:pPr>
        <w:spacing w:after="53" w:line="259" w:lineRule="auto"/>
        <w:ind w:left="144" w:right="0" w:firstLine="0"/>
        <w:jc w:val="left"/>
      </w:pPr>
      <w:r>
        <w:rPr>
          <w:rFonts w:ascii="Calibri" w:eastAsia="Calibri" w:hAnsi="Calibri" w:cs="Calibri"/>
          <w:color w:val="000000"/>
          <w:sz w:val="22"/>
        </w:rPr>
        <w:t xml:space="preserve"> </w:t>
      </w:r>
    </w:p>
    <w:p w14:paraId="6274B975" w14:textId="77777777" w:rsidR="00406B58" w:rsidRDefault="00000000">
      <w:pPr>
        <w:ind w:left="-1" w:right="7"/>
      </w:pPr>
      <w:r>
        <w:t>From the contingency Table Analysis above, the result shows the chi-square calculated value, which is 21.94, is greater than the chi-square table value of 12.59 at 6 degree of freedom and 0.05 level of significance, we equally rejected the hypothesis. This result therefore reveals that there is a significant relationship between the influence of attitude of students with physical and health impairment and knowledge and awareness of sexually transmitted diseases. This is in support of the opinion of Anwar (2010) that knowledge of STIs and their complications and the attitude of the young generation toward sexual health are important in planning preventive and treatment strategies. Most people may be aware of HIV/AIDs because of the awareness created by media and government programs; however, knowledge about STIs other than HIV/AIDS is low in developing countries.</w:t>
      </w:r>
    </w:p>
    <w:p w14:paraId="32FB9B8A" w14:textId="77777777" w:rsidR="00406B58" w:rsidRDefault="00000000">
      <w:pPr>
        <w:spacing w:after="278"/>
        <w:ind w:left="-1" w:right="7"/>
      </w:pPr>
      <w:r>
        <w:rPr>
          <w:b/>
        </w:rPr>
        <w:t>Research Question III: D</w:t>
      </w:r>
      <w:r>
        <w:t>oes sexually transmitted disease/infection have a detrimental impact on the academic achievement of kids who have physical and mental disabilities?</w:t>
      </w:r>
    </w:p>
    <w:p w14:paraId="798AD565" w14:textId="77777777" w:rsidR="00406B58" w:rsidRDefault="00000000">
      <w:pPr>
        <w:spacing w:after="10" w:line="249" w:lineRule="auto"/>
        <w:ind w:left="3" w:right="1" w:hanging="10"/>
      </w:pPr>
      <w:r>
        <w:rPr>
          <w:b/>
        </w:rPr>
        <w:t>Table 3:</w:t>
      </w:r>
    </w:p>
    <w:tbl>
      <w:tblPr>
        <w:tblStyle w:val="TableGrid"/>
        <w:tblW w:w="7097" w:type="dxa"/>
        <w:tblInd w:w="825" w:type="dxa"/>
        <w:tblCellMar>
          <w:top w:w="35" w:type="dxa"/>
          <w:left w:w="105" w:type="dxa"/>
          <w:bottom w:w="13" w:type="dxa"/>
          <w:right w:w="60" w:type="dxa"/>
        </w:tblCellMar>
        <w:tblLook w:val="04A0" w:firstRow="1" w:lastRow="0" w:firstColumn="1" w:lastColumn="0" w:noHBand="0" w:noVBand="1"/>
      </w:tblPr>
      <w:tblGrid>
        <w:gridCol w:w="805"/>
        <w:gridCol w:w="808"/>
        <w:gridCol w:w="990"/>
        <w:gridCol w:w="899"/>
        <w:gridCol w:w="1167"/>
        <w:gridCol w:w="2023"/>
        <w:gridCol w:w="405"/>
      </w:tblGrid>
      <w:tr w:rsidR="00406B58" w14:paraId="2847BA5B" w14:textId="77777777">
        <w:trPr>
          <w:trHeight w:val="693"/>
        </w:trPr>
        <w:tc>
          <w:tcPr>
            <w:tcW w:w="805" w:type="dxa"/>
            <w:tcBorders>
              <w:top w:val="single" w:sz="4" w:space="0" w:color="000000"/>
              <w:left w:val="single" w:sz="4" w:space="0" w:color="000000"/>
              <w:bottom w:val="single" w:sz="4" w:space="0" w:color="000000"/>
              <w:right w:val="single" w:sz="4" w:space="0" w:color="000000"/>
            </w:tcBorders>
          </w:tcPr>
          <w:p w14:paraId="5E2982D8" w14:textId="77777777" w:rsidR="00406B58" w:rsidRDefault="00000000">
            <w:pPr>
              <w:spacing w:after="0" w:line="259" w:lineRule="auto"/>
              <w:ind w:left="2" w:right="0" w:firstLine="0"/>
              <w:jc w:val="left"/>
            </w:pPr>
            <w:r>
              <w:rPr>
                <w:b/>
                <w:color w:val="000000"/>
              </w:rPr>
              <w:t xml:space="preserve">S/N </w:t>
            </w:r>
          </w:p>
        </w:tc>
        <w:tc>
          <w:tcPr>
            <w:tcW w:w="808" w:type="dxa"/>
            <w:tcBorders>
              <w:top w:val="single" w:sz="4" w:space="0" w:color="000000"/>
              <w:left w:val="single" w:sz="4" w:space="0" w:color="000000"/>
              <w:bottom w:val="single" w:sz="4" w:space="0" w:color="000000"/>
              <w:right w:val="single" w:sz="4" w:space="0" w:color="000000"/>
            </w:tcBorders>
          </w:tcPr>
          <w:p w14:paraId="798D7BBF" w14:textId="77777777" w:rsidR="00406B58" w:rsidRDefault="00000000">
            <w:pPr>
              <w:spacing w:after="0" w:line="259" w:lineRule="auto"/>
              <w:ind w:left="0" w:right="0" w:firstLine="0"/>
              <w:jc w:val="left"/>
            </w:pPr>
            <w:r>
              <w:rPr>
                <w:b/>
                <w:color w:val="000000"/>
              </w:rPr>
              <w:t xml:space="preserve">Fo </w:t>
            </w:r>
          </w:p>
        </w:tc>
        <w:tc>
          <w:tcPr>
            <w:tcW w:w="990" w:type="dxa"/>
            <w:tcBorders>
              <w:top w:val="single" w:sz="4" w:space="0" w:color="000000"/>
              <w:left w:val="single" w:sz="4" w:space="0" w:color="000000"/>
              <w:bottom w:val="single" w:sz="4" w:space="0" w:color="000000"/>
              <w:right w:val="single" w:sz="4" w:space="0" w:color="000000"/>
            </w:tcBorders>
          </w:tcPr>
          <w:p w14:paraId="43D14213" w14:textId="77777777" w:rsidR="00406B58" w:rsidRDefault="00000000">
            <w:pPr>
              <w:spacing w:after="0" w:line="259" w:lineRule="auto"/>
              <w:ind w:left="2" w:right="0" w:firstLine="0"/>
              <w:jc w:val="left"/>
            </w:pPr>
            <w:r>
              <w:rPr>
                <w:b/>
                <w:color w:val="000000"/>
              </w:rPr>
              <w:t xml:space="preserve">Fe </w:t>
            </w:r>
          </w:p>
        </w:tc>
        <w:tc>
          <w:tcPr>
            <w:tcW w:w="899" w:type="dxa"/>
            <w:tcBorders>
              <w:top w:val="single" w:sz="4" w:space="0" w:color="000000"/>
              <w:left w:val="single" w:sz="4" w:space="0" w:color="000000"/>
              <w:bottom w:val="single" w:sz="4" w:space="0" w:color="000000"/>
              <w:right w:val="single" w:sz="4" w:space="0" w:color="000000"/>
            </w:tcBorders>
          </w:tcPr>
          <w:p w14:paraId="4DE0BE20" w14:textId="77777777" w:rsidR="00406B58" w:rsidRDefault="00000000">
            <w:pPr>
              <w:spacing w:after="0" w:line="259" w:lineRule="auto"/>
              <w:ind w:left="0" w:right="0" w:firstLine="0"/>
              <w:jc w:val="left"/>
            </w:pPr>
            <w:r>
              <w:rPr>
                <w:b/>
                <w:color w:val="000000"/>
              </w:rPr>
              <w:t xml:space="preserve">Fo-Fe </w:t>
            </w:r>
          </w:p>
        </w:tc>
        <w:tc>
          <w:tcPr>
            <w:tcW w:w="1167" w:type="dxa"/>
            <w:tcBorders>
              <w:top w:val="single" w:sz="4" w:space="0" w:color="000000"/>
              <w:left w:val="single" w:sz="4" w:space="0" w:color="000000"/>
              <w:bottom w:val="single" w:sz="4" w:space="0" w:color="000000"/>
              <w:right w:val="single" w:sz="4" w:space="0" w:color="000000"/>
            </w:tcBorders>
          </w:tcPr>
          <w:p w14:paraId="41EAA8B1" w14:textId="77777777" w:rsidR="00406B58" w:rsidRDefault="00000000">
            <w:pPr>
              <w:spacing w:after="0" w:line="259" w:lineRule="auto"/>
              <w:ind w:left="0" w:right="0" w:firstLine="0"/>
              <w:jc w:val="left"/>
            </w:pPr>
            <w:r>
              <w:rPr>
                <w:b/>
                <w:color w:val="000000"/>
              </w:rPr>
              <w:t>(Fo-Fe)</w:t>
            </w:r>
            <w:r>
              <w:rPr>
                <w:b/>
                <w:color w:val="000000"/>
                <w:vertAlign w:val="superscript"/>
              </w:rPr>
              <w:t>2</w:t>
            </w:r>
            <w:r>
              <w:rPr>
                <w:b/>
                <w:color w:val="000000"/>
              </w:rPr>
              <w:t xml:space="preserve"> </w:t>
            </w:r>
          </w:p>
        </w:tc>
        <w:tc>
          <w:tcPr>
            <w:tcW w:w="2428" w:type="dxa"/>
            <w:gridSpan w:val="2"/>
            <w:tcBorders>
              <w:top w:val="single" w:sz="4" w:space="0" w:color="000000"/>
              <w:left w:val="single" w:sz="4" w:space="0" w:color="000000"/>
              <w:bottom w:val="single" w:sz="4" w:space="0" w:color="000000"/>
              <w:right w:val="single" w:sz="4" w:space="0" w:color="000000"/>
            </w:tcBorders>
            <w:vAlign w:val="bottom"/>
          </w:tcPr>
          <w:p w14:paraId="62566AB0" w14:textId="77777777" w:rsidR="00406B58" w:rsidRDefault="00000000">
            <w:pPr>
              <w:spacing w:after="0" w:line="259" w:lineRule="auto"/>
              <w:ind w:left="882" w:right="0" w:hanging="817"/>
              <w:jc w:val="left"/>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77BF9FB7" wp14:editId="0D5F3561">
                      <wp:simplePos x="0" y="0"/>
                      <wp:positionH relativeFrom="column">
                        <wp:posOffset>706230</wp:posOffset>
                      </wp:positionH>
                      <wp:positionV relativeFrom="paragraph">
                        <wp:posOffset>-108718</wp:posOffset>
                      </wp:positionV>
                      <wp:extent cx="660572" cy="198529"/>
                      <wp:effectExtent l="0" t="0" r="0" b="0"/>
                      <wp:wrapNone/>
                      <wp:docPr id="34474" name="Group 34474"/>
                      <wp:cNvGraphicFramePr/>
                      <a:graphic xmlns:a="http://schemas.openxmlformats.org/drawingml/2006/main">
                        <a:graphicData uri="http://schemas.microsoft.com/office/word/2010/wordprocessingGroup">
                          <wpg:wgp>
                            <wpg:cNvGrpSpPr/>
                            <wpg:grpSpPr>
                              <a:xfrm>
                                <a:off x="0" y="0"/>
                                <a:ext cx="660572" cy="198529"/>
                                <a:chOff x="0" y="0"/>
                                <a:chExt cx="660572" cy="198529"/>
                              </a:xfrm>
                            </wpg:grpSpPr>
                            <wps:wsp>
                              <wps:cNvPr id="2642" name="Shape 2642"/>
                              <wps:cNvSpPr/>
                              <wps:spPr>
                                <a:xfrm>
                                  <a:off x="16114" y="0"/>
                                  <a:ext cx="54454" cy="184216"/>
                                </a:xfrm>
                                <a:custGeom>
                                  <a:avLst/>
                                  <a:gdLst/>
                                  <a:ahLst/>
                                  <a:cxnLst/>
                                  <a:rect l="0" t="0" r="0" b="0"/>
                                  <a:pathLst>
                                    <a:path w="54454" h="184216">
                                      <a:moveTo>
                                        <a:pt x="54454" y="0"/>
                                      </a:moveTo>
                                      <a:lnTo>
                                        <a:pt x="54454" y="4152"/>
                                      </a:lnTo>
                                      <a:cubicBezTo>
                                        <a:pt x="46356" y="8640"/>
                                        <a:pt x="39708" y="14746"/>
                                        <a:pt x="34512" y="22540"/>
                                      </a:cubicBezTo>
                                      <a:cubicBezTo>
                                        <a:pt x="29318" y="30298"/>
                                        <a:pt x="25437" y="40183"/>
                                        <a:pt x="22874" y="52129"/>
                                      </a:cubicBezTo>
                                      <a:cubicBezTo>
                                        <a:pt x="20311" y="64106"/>
                                        <a:pt x="19026" y="76554"/>
                                        <a:pt x="19026" y="89543"/>
                                      </a:cubicBezTo>
                                      <a:cubicBezTo>
                                        <a:pt x="19026" y="104220"/>
                                        <a:pt x="20207" y="117515"/>
                                        <a:pt x="22568" y="129356"/>
                                      </a:cubicBezTo>
                                      <a:cubicBezTo>
                                        <a:pt x="24930" y="141232"/>
                                        <a:pt x="28577" y="151049"/>
                                        <a:pt x="33433" y="158876"/>
                                      </a:cubicBezTo>
                                      <a:cubicBezTo>
                                        <a:pt x="38293" y="166670"/>
                                        <a:pt x="45310" y="173689"/>
                                        <a:pt x="54454" y="179964"/>
                                      </a:cubicBezTo>
                                      <a:lnTo>
                                        <a:pt x="54454" y="184216"/>
                                      </a:lnTo>
                                      <a:cubicBezTo>
                                        <a:pt x="37281" y="175645"/>
                                        <a:pt x="23918" y="163095"/>
                                        <a:pt x="14338" y="146495"/>
                                      </a:cubicBezTo>
                                      <a:cubicBezTo>
                                        <a:pt x="4792" y="129928"/>
                                        <a:pt x="0" y="111812"/>
                                        <a:pt x="0" y="92109"/>
                                      </a:cubicBezTo>
                                      <a:cubicBezTo>
                                        <a:pt x="0" y="71630"/>
                                        <a:pt x="5026" y="52970"/>
                                        <a:pt x="15080" y="36137"/>
                                      </a:cubicBezTo>
                                      <a:cubicBezTo>
                                        <a:pt x="25168" y="19300"/>
                                        <a:pt x="38293" y="7255"/>
                                        <a:pt x="544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 name="Shape 2643"/>
                              <wps:cNvSpPr/>
                              <wps:spPr>
                                <a:xfrm>
                                  <a:off x="541739" y="0"/>
                                  <a:ext cx="54454" cy="184216"/>
                                </a:xfrm>
                                <a:custGeom>
                                  <a:avLst/>
                                  <a:gdLst/>
                                  <a:ahLst/>
                                  <a:cxnLst/>
                                  <a:rect l="0" t="0" r="0" b="0"/>
                                  <a:pathLst>
                                    <a:path w="54454" h="184216">
                                      <a:moveTo>
                                        <a:pt x="0" y="0"/>
                                      </a:moveTo>
                                      <a:cubicBezTo>
                                        <a:pt x="17171" y="8504"/>
                                        <a:pt x="30535" y="21021"/>
                                        <a:pt x="40114" y="37620"/>
                                      </a:cubicBezTo>
                                      <a:cubicBezTo>
                                        <a:pt x="49662" y="54187"/>
                                        <a:pt x="54454" y="72303"/>
                                        <a:pt x="54454" y="92005"/>
                                      </a:cubicBezTo>
                                      <a:cubicBezTo>
                                        <a:pt x="54454" y="112485"/>
                                        <a:pt x="49427" y="131177"/>
                                        <a:pt x="39372" y="148047"/>
                                      </a:cubicBezTo>
                                      <a:cubicBezTo>
                                        <a:pt x="29286" y="164916"/>
                                        <a:pt x="16196" y="176962"/>
                                        <a:pt x="0" y="184216"/>
                                      </a:cubicBezTo>
                                      <a:lnTo>
                                        <a:pt x="0" y="179964"/>
                                      </a:lnTo>
                                      <a:cubicBezTo>
                                        <a:pt x="8165" y="175475"/>
                                        <a:pt x="14846" y="169370"/>
                                        <a:pt x="20041" y="161576"/>
                                      </a:cubicBezTo>
                                      <a:cubicBezTo>
                                        <a:pt x="25236" y="153818"/>
                                        <a:pt x="29084" y="143965"/>
                                        <a:pt x="31612" y="132019"/>
                                      </a:cubicBezTo>
                                      <a:cubicBezTo>
                                        <a:pt x="34142" y="120111"/>
                                        <a:pt x="35428" y="107630"/>
                                        <a:pt x="35428" y="94572"/>
                                      </a:cubicBezTo>
                                      <a:cubicBezTo>
                                        <a:pt x="35428" y="79963"/>
                                        <a:pt x="34243" y="66704"/>
                                        <a:pt x="31917" y="54792"/>
                                      </a:cubicBezTo>
                                      <a:cubicBezTo>
                                        <a:pt x="29589" y="42916"/>
                                        <a:pt x="25978" y="33065"/>
                                        <a:pt x="21053" y="25240"/>
                                      </a:cubicBezTo>
                                      <a:cubicBezTo>
                                        <a:pt x="16159" y="17446"/>
                                        <a:pt x="9144" y="10394"/>
                                        <a:pt x="0" y="41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4" name="Shape 2644"/>
                              <wps:cNvSpPr/>
                              <wps:spPr>
                                <a:xfrm>
                                  <a:off x="0" y="198529"/>
                                  <a:ext cx="660572" cy="0"/>
                                </a:xfrm>
                                <a:custGeom>
                                  <a:avLst/>
                                  <a:gdLst/>
                                  <a:ahLst/>
                                  <a:cxnLst/>
                                  <a:rect l="0" t="0" r="0" b="0"/>
                                  <a:pathLst>
                                    <a:path w="660572">
                                      <a:moveTo>
                                        <a:pt x="0" y="0"/>
                                      </a:moveTo>
                                      <a:lnTo>
                                        <a:pt x="660572" y="0"/>
                                      </a:lnTo>
                                    </a:path>
                                  </a:pathLst>
                                </a:custGeom>
                                <a:ln w="6087"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74" style="width:52.0135pt;height:15.6322pt;position:absolute;z-index:-2147483571;mso-position-horizontal-relative:text;mso-position-horizontal:absolute;margin-left:55.6087pt;mso-position-vertical-relative:text;margin-top:-8.56052pt;" coordsize="6605,1985">
                      <v:shape id="Shape 2642" style="position:absolute;width:544;height:1842;left:161;top:0;" coordsize="54454,184216" path="m54454,0l54454,4152c46356,8640,39708,14746,34512,22540c29318,30298,25437,40183,22874,52129c20311,64106,19026,76554,19026,89543c19026,104220,20207,117515,22568,129356c24930,141232,28577,151049,33433,158876c38293,166670,45310,173689,54454,179964l54454,184216c37281,175645,23918,163095,14338,146495c4792,129928,0,111812,0,92109c0,71630,5026,52970,15080,36137c25168,19300,38293,7255,54454,0x">
                        <v:stroke weight="0pt" endcap="flat" joinstyle="miter" miterlimit="10" on="false" color="#000000" opacity="0"/>
                        <v:fill on="true" color="#000000"/>
                      </v:shape>
                      <v:shape id="Shape 2643" style="position:absolute;width:544;height:1842;left:5417;top:0;" coordsize="54454,184216" path="m0,0c17171,8504,30535,21021,40114,37620c49662,54187,54454,72303,54454,92005c54454,112485,49427,131177,39372,148047c29286,164916,16196,176962,0,184216l0,179964c8165,175475,14846,169370,20041,161576c25236,153818,29084,143965,31612,132019c34142,120111,35428,107630,35428,94572c35428,79963,34243,66704,31917,54792c29589,42916,25978,33065,21053,25240c16159,17446,9144,10394,0,4152l0,0x">
                        <v:stroke weight="0pt" endcap="flat" joinstyle="miter" miterlimit="10" on="false" color="#000000" opacity="0"/>
                        <v:fill on="true" color="#000000"/>
                      </v:shape>
                      <v:shape id="Shape 2644" style="position:absolute;width:6605;height:0;left:0;top:1985;" coordsize="660572,0" path="m0,0l660572,0">
                        <v:stroke weight="0.4793pt" endcap="flat" joinstyle="miter" miterlimit="2" on="true" color="#000000"/>
                        <v:fill on="false" color="#000000" opacity="0"/>
                      </v:shape>
                    </v:group>
                  </w:pict>
                </mc:Fallback>
              </mc:AlternateContent>
            </w:r>
            <w:r>
              <w:rPr>
                <w:i/>
                <w:color w:val="000000"/>
              </w:rPr>
              <w:t xml:space="preserve">X </w:t>
            </w:r>
            <w:r>
              <w:rPr>
                <w:color w:val="000000"/>
                <w:sz w:val="14"/>
              </w:rPr>
              <w:t xml:space="preserve">2 </w:t>
            </w:r>
            <w:r>
              <w:rPr>
                <w:rFonts w:ascii="Segoe UI Symbol" w:eastAsia="Segoe UI Symbol" w:hAnsi="Segoe UI Symbol" w:cs="Segoe UI Symbol"/>
                <w:color w:val="000000"/>
              </w:rPr>
              <w:t>=</w:t>
            </w:r>
            <w:r>
              <w:rPr>
                <w:rFonts w:ascii="Segoe UI Symbol" w:eastAsia="Segoe UI Symbol" w:hAnsi="Segoe UI Symbol" w:cs="Segoe UI Symbol"/>
                <w:color w:val="000000"/>
                <w:sz w:val="56"/>
                <w:vertAlign w:val="subscript"/>
              </w:rPr>
              <w:t>å</w:t>
            </w:r>
            <w:r>
              <w:rPr>
                <w:rFonts w:ascii="Segoe UI Symbol" w:eastAsia="Segoe UI Symbol" w:hAnsi="Segoe UI Symbol" w:cs="Segoe UI Symbol"/>
                <w:color w:val="000000"/>
              </w:rPr>
              <w:t xml:space="preserve">æç </w:t>
            </w:r>
            <w:r>
              <w:rPr>
                <w:i/>
                <w:color w:val="000000"/>
              </w:rPr>
              <w:t>FoFo</w:t>
            </w:r>
            <w:r>
              <w:rPr>
                <w:rFonts w:ascii="Segoe UI Symbol" w:eastAsia="Segoe UI Symbol" w:hAnsi="Segoe UI Symbol" w:cs="Segoe UI Symbol"/>
                <w:color w:val="000000"/>
              </w:rPr>
              <w:t>-</w:t>
            </w:r>
            <w:r>
              <w:rPr>
                <w:i/>
                <w:color w:val="000000"/>
              </w:rPr>
              <w:t>Fe</w:t>
            </w:r>
            <w:r>
              <w:rPr>
                <w:color w:val="000000"/>
              </w:rPr>
              <w:t>2</w:t>
            </w:r>
            <w:r>
              <w:rPr>
                <w:rFonts w:ascii="Segoe UI Symbol" w:eastAsia="Segoe UI Symbol" w:hAnsi="Segoe UI Symbol" w:cs="Segoe UI Symbol"/>
                <w:color w:val="000000"/>
              </w:rPr>
              <w:t>ö÷ø</w:t>
            </w:r>
            <w:r>
              <w:rPr>
                <w:b/>
                <w:color w:val="000000"/>
              </w:rPr>
              <w:t xml:space="preserve"> </w:t>
            </w:r>
            <w:r>
              <w:rPr>
                <w:rFonts w:ascii="Segoe UI Symbol" w:eastAsia="Segoe UI Symbol" w:hAnsi="Segoe UI Symbol" w:cs="Segoe UI Symbol"/>
                <w:color w:val="000000"/>
              </w:rPr>
              <w:t>è</w:t>
            </w:r>
          </w:p>
        </w:tc>
      </w:tr>
      <w:tr w:rsidR="00406B58" w14:paraId="5BE1B66B"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62C4F56C" w14:textId="77777777" w:rsidR="00406B58" w:rsidRDefault="00000000">
            <w:pPr>
              <w:spacing w:after="0" w:line="259" w:lineRule="auto"/>
              <w:ind w:left="2" w:right="0" w:firstLine="0"/>
              <w:jc w:val="left"/>
            </w:pPr>
            <w:r>
              <w:rPr>
                <w:color w:val="000000"/>
              </w:rPr>
              <w:t xml:space="preserve">1 </w:t>
            </w:r>
          </w:p>
        </w:tc>
        <w:tc>
          <w:tcPr>
            <w:tcW w:w="808" w:type="dxa"/>
            <w:tcBorders>
              <w:top w:val="single" w:sz="4" w:space="0" w:color="000000"/>
              <w:left w:val="single" w:sz="4" w:space="0" w:color="000000"/>
              <w:bottom w:val="single" w:sz="4" w:space="0" w:color="000000"/>
              <w:right w:val="single" w:sz="4" w:space="0" w:color="000000"/>
            </w:tcBorders>
          </w:tcPr>
          <w:p w14:paraId="39080B33" w14:textId="77777777" w:rsidR="00406B58" w:rsidRDefault="00000000">
            <w:pPr>
              <w:spacing w:after="0" w:line="259" w:lineRule="auto"/>
              <w:ind w:left="0" w:right="0" w:firstLine="0"/>
              <w:jc w:val="left"/>
            </w:pPr>
            <w:r>
              <w:rPr>
                <w:color w:val="000000"/>
              </w:rPr>
              <w:t xml:space="preserve">117 </w:t>
            </w:r>
          </w:p>
        </w:tc>
        <w:tc>
          <w:tcPr>
            <w:tcW w:w="990" w:type="dxa"/>
            <w:tcBorders>
              <w:top w:val="single" w:sz="4" w:space="0" w:color="000000"/>
              <w:left w:val="single" w:sz="4" w:space="0" w:color="000000"/>
              <w:bottom w:val="single" w:sz="4" w:space="0" w:color="000000"/>
              <w:right w:val="single" w:sz="4" w:space="0" w:color="000000"/>
            </w:tcBorders>
          </w:tcPr>
          <w:p w14:paraId="04A26AA3" w14:textId="77777777" w:rsidR="00406B58" w:rsidRDefault="00000000">
            <w:pPr>
              <w:spacing w:after="0" w:line="259" w:lineRule="auto"/>
              <w:ind w:left="2" w:right="0" w:firstLine="0"/>
              <w:jc w:val="left"/>
            </w:pPr>
            <w:r>
              <w:rPr>
                <w:color w:val="000000"/>
              </w:rPr>
              <w:t xml:space="preserve">100.6 </w:t>
            </w:r>
          </w:p>
        </w:tc>
        <w:tc>
          <w:tcPr>
            <w:tcW w:w="899" w:type="dxa"/>
            <w:tcBorders>
              <w:top w:val="single" w:sz="4" w:space="0" w:color="000000"/>
              <w:left w:val="single" w:sz="4" w:space="0" w:color="000000"/>
              <w:bottom w:val="single" w:sz="4" w:space="0" w:color="000000"/>
              <w:right w:val="single" w:sz="4" w:space="0" w:color="000000"/>
            </w:tcBorders>
          </w:tcPr>
          <w:p w14:paraId="65E1B126" w14:textId="77777777" w:rsidR="00406B58" w:rsidRDefault="00000000">
            <w:pPr>
              <w:spacing w:after="0" w:line="259" w:lineRule="auto"/>
              <w:ind w:left="0" w:right="0" w:firstLine="0"/>
              <w:jc w:val="left"/>
            </w:pPr>
            <w:r>
              <w:rPr>
                <w:color w:val="000000"/>
              </w:rPr>
              <w:t xml:space="preserve">16.4 </w:t>
            </w:r>
          </w:p>
        </w:tc>
        <w:tc>
          <w:tcPr>
            <w:tcW w:w="1167" w:type="dxa"/>
            <w:tcBorders>
              <w:top w:val="single" w:sz="4" w:space="0" w:color="000000"/>
              <w:left w:val="single" w:sz="4" w:space="0" w:color="000000"/>
              <w:bottom w:val="single" w:sz="4" w:space="0" w:color="000000"/>
              <w:right w:val="single" w:sz="4" w:space="0" w:color="000000"/>
            </w:tcBorders>
          </w:tcPr>
          <w:p w14:paraId="1E55F904" w14:textId="77777777" w:rsidR="00406B58" w:rsidRDefault="00000000">
            <w:pPr>
              <w:spacing w:after="0" w:line="259" w:lineRule="auto"/>
              <w:ind w:left="0" w:right="0" w:firstLine="0"/>
              <w:jc w:val="left"/>
            </w:pPr>
            <w:r>
              <w:rPr>
                <w:color w:val="000000"/>
              </w:rPr>
              <w:t xml:space="preserve">268.96 </w:t>
            </w:r>
          </w:p>
        </w:tc>
        <w:tc>
          <w:tcPr>
            <w:tcW w:w="2023" w:type="dxa"/>
            <w:tcBorders>
              <w:top w:val="single" w:sz="4" w:space="0" w:color="000000"/>
              <w:left w:val="single" w:sz="4" w:space="0" w:color="000000"/>
              <w:bottom w:val="single" w:sz="4" w:space="0" w:color="000000"/>
              <w:right w:val="nil"/>
            </w:tcBorders>
          </w:tcPr>
          <w:p w14:paraId="633ECBBE" w14:textId="77777777" w:rsidR="00406B58" w:rsidRDefault="00000000">
            <w:pPr>
              <w:spacing w:after="0" w:line="259" w:lineRule="auto"/>
              <w:ind w:left="355" w:right="0" w:firstLine="0"/>
              <w:jc w:val="center"/>
            </w:pPr>
            <w:r>
              <w:rPr>
                <w:color w:val="000000"/>
              </w:rPr>
              <w:t xml:space="preserve">2.3 </w:t>
            </w:r>
          </w:p>
        </w:tc>
        <w:tc>
          <w:tcPr>
            <w:tcW w:w="405" w:type="dxa"/>
            <w:tcBorders>
              <w:top w:val="single" w:sz="4" w:space="0" w:color="000000"/>
              <w:left w:val="nil"/>
              <w:bottom w:val="single" w:sz="4" w:space="0" w:color="000000"/>
              <w:right w:val="single" w:sz="4" w:space="0" w:color="000000"/>
            </w:tcBorders>
          </w:tcPr>
          <w:p w14:paraId="7B1B2830" w14:textId="77777777" w:rsidR="00406B58" w:rsidRDefault="00406B58">
            <w:pPr>
              <w:spacing w:after="160" w:line="259" w:lineRule="auto"/>
              <w:ind w:left="0" w:right="0" w:firstLine="0"/>
              <w:jc w:val="left"/>
            </w:pPr>
          </w:p>
        </w:tc>
      </w:tr>
      <w:tr w:rsidR="00406B58" w14:paraId="0AD8D113"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7D1FFFCF" w14:textId="77777777" w:rsidR="00406B58" w:rsidRDefault="00000000">
            <w:pPr>
              <w:spacing w:after="0" w:line="259" w:lineRule="auto"/>
              <w:ind w:left="2" w:right="0" w:firstLine="0"/>
              <w:jc w:val="left"/>
            </w:pPr>
            <w:r>
              <w:rPr>
                <w:color w:val="000000"/>
              </w:rPr>
              <w:t xml:space="preserve">2 </w:t>
            </w:r>
          </w:p>
        </w:tc>
        <w:tc>
          <w:tcPr>
            <w:tcW w:w="808" w:type="dxa"/>
            <w:tcBorders>
              <w:top w:val="single" w:sz="4" w:space="0" w:color="000000"/>
              <w:left w:val="single" w:sz="4" w:space="0" w:color="000000"/>
              <w:bottom w:val="single" w:sz="4" w:space="0" w:color="000000"/>
              <w:right w:val="single" w:sz="4" w:space="0" w:color="000000"/>
            </w:tcBorders>
          </w:tcPr>
          <w:p w14:paraId="4FA59957" w14:textId="77777777" w:rsidR="00406B58" w:rsidRDefault="00000000">
            <w:pPr>
              <w:spacing w:after="0" w:line="259" w:lineRule="auto"/>
              <w:ind w:left="0" w:right="0" w:firstLine="0"/>
              <w:jc w:val="left"/>
            </w:pPr>
            <w:r>
              <w:rPr>
                <w:color w:val="000000"/>
              </w:rPr>
              <w:t xml:space="preserve">109 </w:t>
            </w:r>
          </w:p>
        </w:tc>
        <w:tc>
          <w:tcPr>
            <w:tcW w:w="990" w:type="dxa"/>
            <w:tcBorders>
              <w:top w:val="single" w:sz="4" w:space="0" w:color="000000"/>
              <w:left w:val="single" w:sz="4" w:space="0" w:color="000000"/>
              <w:bottom w:val="single" w:sz="4" w:space="0" w:color="000000"/>
              <w:right w:val="single" w:sz="4" w:space="0" w:color="000000"/>
            </w:tcBorders>
          </w:tcPr>
          <w:p w14:paraId="1EF8833D" w14:textId="77777777" w:rsidR="00406B58" w:rsidRDefault="00000000">
            <w:pPr>
              <w:spacing w:after="0" w:line="259" w:lineRule="auto"/>
              <w:ind w:left="2" w:right="0" w:firstLine="0"/>
              <w:jc w:val="left"/>
            </w:pPr>
            <w:r>
              <w:rPr>
                <w:color w:val="000000"/>
              </w:rPr>
              <w:t xml:space="preserve">100.6 </w:t>
            </w:r>
          </w:p>
        </w:tc>
        <w:tc>
          <w:tcPr>
            <w:tcW w:w="899" w:type="dxa"/>
            <w:tcBorders>
              <w:top w:val="single" w:sz="4" w:space="0" w:color="000000"/>
              <w:left w:val="single" w:sz="4" w:space="0" w:color="000000"/>
              <w:bottom w:val="single" w:sz="4" w:space="0" w:color="000000"/>
              <w:right w:val="single" w:sz="4" w:space="0" w:color="000000"/>
            </w:tcBorders>
          </w:tcPr>
          <w:p w14:paraId="3ECF6C77" w14:textId="77777777" w:rsidR="00406B58" w:rsidRDefault="00000000">
            <w:pPr>
              <w:spacing w:after="0" w:line="259" w:lineRule="auto"/>
              <w:ind w:left="0" w:right="0" w:firstLine="0"/>
              <w:jc w:val="left"/>
            </w:pPr>
            <w:r>
              <w:rPr>
                <w:color w:val="000000"/>
              </w:rPr>
              <w:t xml:space="preserve">8.4 </w:t>
            </w:r>
          </w:p>
        </w:tc>
        <w:tc>
          <w:tcPr>
            <w:tcW w:w="1167" w:type="dxa"/>
            <w:tcBorders>
              <w:top w:val="single" w:sz="4" w:space="0" w:color="000000"/>
              <w:left w:val="single" w:sz="4" w:space="0" w:color="000000"/>
              <w:bottom w:val="single" w:sz="4" w:space="0" w:color="000000"/>
              <w:right w:val="single" w:sz="4" w:space="0" w:color="000000"/>
            </w:tcBorders>
          </w:tcPr>
          <w:p w14:paraId="3680D8A3" w14:textId="77777777" w:rsidR="00406B58" w:rsidRDefault="00000000">
            <w:pPr>
              <w:spacing w:after="0" w:line="259" w:lineRule="auto"/>
              <w:ind w:left="0" w:right="0" w:firstLine="0"/>
              <w:jc w:val="left"/>
            </w:pPr>
            <w:r>
              <w:rPr>
                <w:color w:val="000000"/>
              </w:rPr>
              <w:t xml:space="preserve">68.04 </w:t>
            </w:r>
          </w:p>
        </w:tc>
        <w:tc>
          <w:tcPr>
            <w:tcW w:w="2023" w:type="dxa"/>
            <w:tcBorders>
              <w:top w:val="single" w:sz="4" w:space="0" w:color="000000"/>
              <w:left w:val="single" w:sz="4" w:space="0" w:color="000000"/>
              <w:bottom w:val="single" w:sz="4" w:space="0" w:color="000000"/>
              <w:right w:val="nil"/>
            </w:tcBorders>
          </w:tcPr>
          <w:p w14:paraId="0803C307" w14:textId="77777777" w:rsidR="00406B58" w:rsidRDefault="00000000">
            <w:pPr>
              <w:spacing w:after="0" w:line="259" w:lineRule="auto"/>
              <w:ind w:left="355" w:right="0" w:firstLine="0"/>
              <w:jc w:val="center"/>
            </w:pPr>
            <w:r>
              <w:rPr>
                <w:color w:val="000000"/>
              </w:rPr>
              <w:t xml:space="preserve">0.62 </w:t>
            </w:r>
          </w:p>
        </w:tc>
        <w:tc>
          <w:tcPr>
            <w:tcW w:w="405" w:type="dxa"/>
            <w:tcBorders>
              <w:top w:val="single" w:sz="4" w:space="0" w:color="000000"/>
              <w:left w:val="nil"/>
              <w:bottom w:val="single" w:sz="4" w:space="0" w:color="000000"/>
              <w:right w:val="single" w:sz="4" w:space="0" w:color="000000"/>
            </w:tcBorders>
          </w:tcPr>
          <w:p w14:paraId="135DA6E8" w14:textId="77777777" w:rsidR="00406B58" w:rsidRDefault="00406B58">
            <w:pPr>
              <w:spacing w:after="160" w:line="259" w:lineRule="auto"/>
              <w:ind w:left="0" w:right="0" w:firstLine="0"/>
              <w:jc w:val="left"/>
            </w:pPr>
          </w:p>
        </w:tc>
      </w:tr>
      <w:tr w:rsidR="00406B58" w14:paraId="4B16BF0D" w14:textId="77777777">
        <w:trPr>
          <w:trHeight w:val="288"/>
        </w:trPr>
        <w:tc>
          <w:tcPr>
            <w:tcW w:w="805" w:type="dxa"/>
            <w:tcBorders>
              <w:top w:val="single" w:sz="4" w:space="0" w:color="000000"/>
              <w:left w:val="single" w:sz="4" w:space="0" w:color="000000"/>
              <w:bottom w:val="single" w:sz="4" w:space="0" w:color="000000"/>
              <w:right w:val="single" w:sz="4" w:space="0" w:color="000000"/>
            </w:tcBorders>
          </w:tcPr>
          <w:p w14:paraId="3AD9819F" w14:textId="77777777" w:rsidR="00406B58" w:rsidRDefault="00000000">
            <w:pPr>
              <w:spacing w:after="0" w:line="259" w:lineRule="auto"/>
              <w:ind w:left="2" w:right="0" w:firstLine="0"/>
              <w:jc w:val="left"/>
            </w:pPr>
            <w:r>
              <w:rPr>
                <w:color w:val="000000"/>
              </w:rPr>
              <w:t xml:space="preserve">3 </w:t>
            </w:r>
          </w:p>
        </w:tc>
        <w:tc>
          <w:tcPr>
            <w:tcW w:w="808" w:type="dxa"/>
            <w:tcBorders>
              <w:top w:val="single" w:sz="4" w:space="0" w:color="000000"/>
              <w:left w:val="single" w:sz="4" w:space="0" w:color="000000"/>
              <w:bottom w:val="single" w:sz="4" w:space="0" w:color="000000"/>
              <w:right w:val="single" w:sz="4" w:space="0" w:color="000000"/>
            </w:tcBorders>
          </w:tcPr>
          <w:p w14:paraId="454E81AF" w14:textId="77777777" w:rsidR="00406B58" w:rsidRDefault="00000000">
            <w:pPr>
              <w:spacing w:after="0" w:line="259" w:lineRule="auto"/>
              <w:ind w:left="0" w:right="0" w:firstLine="0"/>
              <w:jc w:val="left"/>
            </w:pPr>
            <w:r>
              <w:rPr>
                <w:color w:val="000000"/>
              </w:rPr>
              <w:t xml:space="preserve">95 </w:t>
            </w:r>
          </w:p>
        </w:tc>
        <w:tc>
          <w:tcPr>
            <w:tcW w:w="990" w:type="dxa"/>
            <w:tcBorders>
              <w:top w:val="single" w:sz="4" w:space="0" w:color="000000"/>
              <w:left w:val="single" w:sz="4" w:space="0" w:color="000000"/>
              <w:bottom w:val="single" w:sz="4" w:space="0" w:color="000000"/>
              <w:right w:val="single" w:sz="4" w:space="0" w:color="000000"/>
            </w:tcBorders>
          </w:tcPr>
          <w:p w14:paraId="6FD1F701" w14:textId="77777777" w:rsidR="00406B58" w:rsidRDefault="00000000">
            <w:pPr>
              <w:spacing w:after="0" w:line="259" w:lineRule="auto"/>
              <w:ind w:left="2" w:right="0" w:firstLine="0"/>
              <w:jc w:val="left"/>
            </w:pPr>
            <w:r>
              <w:rPr>
                <w:color w:val="000000"/>
              </w:rPr>
              <w:t xml:space="preserve">100.6 </w:t>
            </w:r>
          </w:p>
        </w:tc>
        <w:tc>
          <w:tcPr>
            <w:tcW w:w="899" w:type="dxa"/>
            <w:tcBorders>
              <w:top w:val="single" w:sz="4" w:space="0" w:color="000000"/>
              <w:left w:val="single" w:sz="4" w:space="0" w:color="000000"/>
              <w:bottom w:val="single" w:sz="4" w:space="0" w:color="000000"/>
              <w:right w:val="single" w:sz="4" w:space="0" w:color="000000"/>
            </w:tcBorders>
          </w:tcPr>
          <w:p w14:paraId="64FDD8CC" w14:textId="77777777" w:rsidR="00406B58" w:rsidRDefault="00000000">
            <w:pPr>
              <w:spacing w:after="0" w:line="259" w:lineRule="auto"/>
              <w:ind w:left="0" w:right="0" w:firstLine="0"/>
              <w:jc w:val="left"/>
            </w:pPr>
            <w:r>
              <w:rPr>
                <w:color w:val="000000"/>
              </w:rPr>
              <w:t xml:space="preserve">-5.6 </w:t>
            </w:r>
          </w:p>
        </w:tc>
        <w:tc>
          <w:tcPr>
            <w:tcW w:w="1167" w:type="dxa"/>
            <w:tcBorders>
              <w:top w:val="single" w:sz="4" w:space="0" w:color="000000"/>
              <w:left w:val="single" w:sz="4" w:space="0" w:color="000000"/>
              <w:bottom w:val="single" w:sz="4" w:space="0" w:color="000000"/>
              <w:right w:val="single" w:sz="4" w:space="0" w:color="000000"/>
            </w:tcBorders>
          </w:tcPr>
          <w:p w14:paraId="7972F8A0" w14:textId="77777777" w:rsidR="00406B58" w:rsidRDefault="00000000">
            <w:pPr>
              <w:spacing w:after="0" w:line="259" w:lineRule="auto"/>
              <w:ind w:left="0" w:right="0" w:firstLine="0"/>
              <w:jc w:val="left"/>
            </w:pPr>
            <w:r>
              <w:rPr>
                <w:color w:val="000000"/>
              </w:rPr>
              <w:t xml:space="preserve">31.36 </w:t>
            </w:r>
          </w:p>
        </w:tc>
        <w:tc>
          <w:tcPr>
            <w:tcW w:w="2023" w:type="dxa"/>
            <w:tcBorders>
              <w:top w:val="single" w:sz="4" w:space="0" w:color="000000"/>
              <w:left w:val="single" w:sz="4" w:space="0" w:color="000000"/>
              <w:bottom w:val="single" w:sz="4" w:space="0" w:color="000000"/>
              <w:right w:val="nil"/>
            </w:tcBorders>
          </w:tcPr>
          <w:p w14:paraId="4AB90F41" w14:textId="77777777" w:rsidR="00406B58" w:rsidRDefault="00000000">
            <w:pPr>
              <w:spacing w:after="0" w:line="259" w:lineRule="auto"/>
              <w:ind w:left="355" w:right="0" w:firstLine="0"/>
              <w:jc w:val="center"/>
            </w:pPr>
            <w:r>
              <w:rPr>
                <w:color w:val="000000"/>
              </w:rPr>
              <w:t xml:space="preserve">0.33 </w:t>
            </w:r>
          </w:p>
        </w:tc>
        <w:tc>
          <w:tcPr>
            <w:tcW w:w="405" w:type="dxa"/>
            <w:tcBorders>
              <w:top w:val="single" w:sz="4" w:space="0" w:color="000000"/>
              <w:left w:val="nil"/>
              <w:bottom w:val="single" w:sz="4" w:space="0" w:color="000000"/>
              <w:right w:val="single" w:sz="4" w:space="0" w:color="000000"/>
            </w:tcBorders>
          </w:tcPr>
          <w:p w14:paraId="388B17A4" w14:textId="77777777" w:rsidR="00406B58" w:rsidRDefault="00406B58">
            <w:pPr>
              <w:spacing w:after="160" w:line="259" w:lineRule="auto"/>
              <w:ind w:left="0" w:right="0" w:firstLine="0"/>
              <w:jc w:val="left"/>
            </w:pPr>
          </w:p>
        </w:tc>
      </w:tr>
      <w:tr w:rsidR="00406B58" w14:paraId="1D4FE2FE"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42AC32B5" w14:textId="77777777" w:rsidR="00406B58" w:rsidRDefault="00000000">
            <w:pPr>
              <w:spacing w:after="0" w:line="259" w:lineRule="auto"/>
              <w:ind w:left="2" w:right="0" w:firstLine="0"/>
              <w:jc w:val="left"/>
            </w:pPr>
            <w:r>
              <w:rPr>
                <w:color w:val="000000"/>
              </w:rPr>
              <w:t xml:space="preserve">4 </w:t>
            </w:r>
          </w:p>
        </w:tc>
        <w:tc>
          <w:tcPr>
            <w:tcW w:w="808" w:type="dxa"/>
            <w:tcBorders>
              <w:top w:val="single" w:sz="4" w:space="0" w:color="000000"/>
              <w:left w:val="single" w:sz="4" w:space="0" w:color="000000"/>
              <w:bottom w:val="single" w:sz="4" w:space="0" w:color="000000"/>
              <w:right w:val="single" w:sz="4" w:space="0" w:color="000000"/>
            </w:tcBorders>
          </w:tcPr>
          <w:p w14:paraId="6322338D" w14:textId="77777777" w:rsidR="00406B58" w:rsidRDefault="00000000">
            <w:pPr>
              <w:spacing w:after="0" w:line="259" w:lineRule="auto"/>
              <w:ind w:left="0" w:right="0" w:firstLine="0"/>
              <w:jc w:val="left"/>
            </w:pPr>
            <w:r>
              <w:rPr>
                <w:color w:val="000000"/>
              </w:rPr>
              <w:t xml:space="preserve">99 </w:t>
            </w:r>
          </w:p>
        </w:tc>
        <w:tc>
          <w:tcPr>
            <w:tcW w:w="990" w:type="dxa"/>
            <w:tcBorders>
              <w:top w:val="single" w:sz="4" w:space="0" w:color="000000"/>
              <w:left w:val="single" w:sz="4" w:space="0" w:color="000000"/>
              <w:bottom w:val="single" w:sz="4" w:space="0" w:color="000000"/>
              <w:right w:val="single" w:sz="4" w:space="0" w:color="000000"/>
            </w:tcBorders>
          </w:tcPr>
          <w:p w14:paraId="32209458" w14:textId="77777777" w:rsidR="00406B58" w:rsidRDefault="00000000">
            <w:pPr>
              <w:spacing w:after="0" w:line="259" w:lineRule="auto"/>
              <w:ind w:left="2" w:right="0" w:firstLine="0"/>
              <w:jc w:val="left"/>
            </w:pPr>
            <w:r>
              <w:rPr>
                <w:color w:val="000000"/>
              </w:rPr>
              <w:t xml:space="preserve">100.6 </w:t>
            </w:r>
          </w:p>
        </w:tc>
        <w:tc>
          <w:tcPr>
            <w:tcW w:w="899" w:type="dxa"/>
            <w:tcBorders>
              <w:top w:val="single" w:sz="4" w:space="0" w:color="000000"/>
              <w:left w:val="single" w:sz="4" w:space="0" w:color="000000"/>
              <w:bottom w:val="single" w:sz="4" w:space="0" w:color="000000"/>
              <w:right w:val="single" w:sz="4" w:space="0" w:color="000000"/>
            </w:tcBorders>
          </w:tcPr>
          <w:p w14:paraId="26E7D1EE" w14:textId="77777777" w:rsidR="00406B58" w:rsidRDefault="00000000">
            <w:pPr>
              <w:spacing w:after="0" w:line="259" w:lineRule="auto"/>
              <w:ind w:left="0" w:right="0" w:firstLine="0"/>
              <w:jc w:val="left"/>
            </w:pPr>
            <w:r>
              <w:rPr>
                <w:color w:val="000000"/>
              </w:rPr>
              <w:t xml:space="preserve">-1.6 </w:t>
            </w:r>
          </w:p>
        </w:tc>
        <w:tc>
          <w:tcPr>
            <w:tcW w:w="1167" w:type="dxa"/>
            <w:tcBorders>
              <w:top w:val="single" w:sz="4" w:space="0" w:color="000000"/>
              <w:left w:val="single" w:sz="4" w:space="0" w:color="000000"/>
              <w:bottom w:val="single" w:sz="4" w:space="0" w:color="000000"/>
              <w:right w:val="single" w:sz="4" w:space="0" w:color="000000"/>
            </w:tcBorders>
          </w:tcPr>
          <w:p w14:paraId="266D68C3" w14:textId="77777777" w:rsidR="00406B58" w:rsidRDefault="00000000">
            <w:pPr>
              <w:spacing w:after="0" w:line="259" w:lineRule="auto"/>
              <w:ind w:left="0" w:right="0" w:firstLine="0"/>
              <w:jc w:val="left"/>
            </w:pPr>
            <w:r>
              <w:rPr>
                <w:color w:val="000000"/>
              </w:rPr>
              <w:t xml:space="preserve">2.56 </w:t>
            </w:r>
          </w:p>
        </w:tc>
        <w:tc>
          <w:tcPr>
            <w:tcW w:w="2023" w:type="dxa"/>
            <w:tcBorders>
              <w:top w:val="single" w:sz="4" w:space="0" w:color="000000"/>
              <w:left w:val="single" w:sz="4" w:space="0" w:color="000000"/>
              <w:bottom w:val="single" w:sz="4" w:space="0" w:color="000000"/>
              <w:right w:val="nil"/>
            </w:tcBorders>
          </w:tcPr>
          <w:p w14:paraId="4E58B763" w14:textId="77777777" w:rsidR="00406B58" w:rsidRDefault="00000000">
            <w:pPr>
              <w:spacing w:after="0" w:line="259" w:lineRule="auto"/>
              <w:ind w:left="355" w:right="0" w:firstLine="0"/>
              <w:jc w:val="center"/>
            </w:pPr>
            <w:r>
              <w:rPr>
                <w:color w:val="000000"/>
              </w:rPr>
              <w:t xml:space="preserve">0.026 </w:t>
            </w:r>
          </w:p>
        </w:tc>
        <w:tc>
          <w:tcPr>
            <w:tcW w:w="405" w:type="dxa"/>
            <w:tcBorders>
              <w:top w:val="single" w:sz="4" w:space="0" w:color="000000"/>
              <w:left w:val="nil"/>
              <w:bottom w:val="single" w:sz="4" w:space="0" w:color="000000"/>
              <w:right w:val="single" w:sz="4" w:space="0" w:color="000000"/>
            </w:tcBorders>
          </w:tcPr>
          <w:p w14:paraId="3C8033CC" w14:textId="77777777" w:rsidR="00406B58" w:rsidRDefault="00406B58">
            <w:pPr>
              <w:spacing w:after="160" w:line="259" w:lineRule="auto"/>
              <w:ind w:left="0" w:right="0" w:firstLine="0"/>
              <w:jc w:val="left"/>
            </w:pPr>
          </w:p>
        </w:tc>
      </w:tr>
      <w:tr w:rsidR="00406B58" w14:paraId="707F6462"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1CC3E180" w14:textId="77777777" w:rsidR="00406B58" w:rsidRDefault="00000000">
            <w:pPr>
              <w:spacing w:after="0" w:line="259" w:lineRule="auto"/>
              <w:ind w:left="2" w:right="0" w:firstLine="0"/>
              <w:jc w:val="left"/>
            </w:pPr>
            <w:r>
              <w:rPr>
                <w:color w:val="000000"/>
              </w:rPr>
              <w:lastRenderedPageBreak/>
              <w:t xml:space="preserve">5 </w:t>
            </w:r>
          </w:p>
        </w:tc>
        <w:tc>
          <w:tcPr>
            <w:tcW w:w="808" w:type="dxa"/>
            <w:tcBorders>
              <w:top w:val="single" w:sz="4" w:space="0" w:color="000000"/>
              <w:left w:val="single" w:sz="4" w:space="0" w:color="000000"/>
              <w:bottom w:val="single" w:sz="4" w:space="0" w:color="000000"/>
              <w:right w:val="single" w:sz="4" w:space="0" w:color="000000"/>
            </w:tcBorders>
          </w:tcPr>
          <w:p w14:paraId="21AE99F5" w14:textId="77777777" w:rsidR="00406B58" w:rsidRDefault="00000000">
            <w:pPr>
              <w:spacing w:after="0" w:line="259" w:lineRule="auto"/>
              <w:ind w:left="0" w:right="0" w:firstLine="0"/>
              <w:jc w:val="left"/>
            </w:pPr>
            <w:r>
              <w:rPr>
                <w:color w:val="000000"/>
              </w:rPr>
              <w:t xml:space="preserve">83 </w:t>
            </w:r>
          </w:p>
        </w:tc>
        <w:tc>
          <w:tcPr>
            <w:tcW w:w="990" w:type="dxa"/>
            <w:tcBorders>
              <w:top w:val="single" w:sz="4" w:space="0" w:color="000000"/>
              <w:left w:val="single" w:sz="4" w:space="0" w:color="000000"/>
              <w:bottom w:val="single" w:sz="4" w:space="0" w:color="000000"/>
              <w:right w:val="single" w:sz="4" w:space="0" w:color="000000"/>
            </w:tcBorders>
          </w:tcPr>
          <w:p w14:paraId="42551728" w14:textId="77777777" w:rsidR="00406B58" w:rsidRDefault="00000000">
            <w:pPr>
              <w:spacing w:after="0" w:line="259" w:lineRule="auto"/>
              <w:ind w:left="2" w:right="0" w:firstLine="0"/>
              <w:jc w:val="left"/>
            </w:pPr>
            <w:r>
              <w:rPr>
                <w:color w:val="000000"/>
              </w:rPr>
              <w:t xml:space="preserve">100.6 </w:t>
            </w:r>
          </w:p>
        </w:tc>
        <w:tc>
          <w:tcPr>
            <w:tcW w:w="899" w:type="dxa"/>
            <w:tcBorders>
              <w:top w:val="single" w:sz="4" w:space="0" w:color="000000"/>
              <w:left w:val="single" w:sz="4" w:space="0" w:color="000000"/>
              <w:bottom w:val="single" w:sz="4" w:space="0" w:color="000000"/>
              <w:right w:val="single" w:sz="4" w:space="0" w:color="000000"/>
            </w:tcBorders>
          </w:tcPr>
          <w:p w14:paraId="55663A7D" w14:textId="77777777" w:rsidR="00406B58" w:rsidRDefault="00000000">
            <w:pPr>
              <w:spacing w:after="0" w:line="259" w:lineRule="auto"/>
              <w:ind w:left="0" w:right="0" w:firstLine="0"/>
              <w:jc w:val="left"/>
            </w:pPr>
            <w:r>
              <w:rPr>
                <w:color w:val="000000"/>
              </w:rPr>
              <w:t xml:space="preserve">-17.6 </w:t>
            </w:r>
          </w:p>
        </w:tc>
        <w:tc>
          <w:tcPr>
            <w:tcW w:w="1167" w:type="dxa"/>
            <w:tcBorders>
              <w:top w:val="single" w:sz="4" w:space="0" w:color="000000"/>
              <w:left w:val="single" w:sz="4" w:space="0" w:color="000000"/>
              <w:bottom w:val="single" w:sz="4" w:space="0" w:color="000000"/>
              <w:right w:val="single" w:sz="4" w:space="0" w:color="000000"/>
            </w:tcBorders>
          </w:tcPr>
          <w:p w14:paraId="4DDEA8E6" w14:textId="77777777" w:rsidR="00406B58" w:rsidRDefault="00000000">
            <w:pPr>
              <w:spacing w:after="0" w:line="259" w:lineRule="auto"/>
              <w:ind w:left="0" w:right="0" w:firstLine="0"/>
              <w:jc w:val="left"/>
            </w:pPr>
            <w:r>
              <w:rPr>
                <w:color w:val="000000"/>
              </w:rPr>
              <w:t xml:space="preserve">309.76 </w:t>
            </w:r>
          </w:p>
        </w:tc>
        <w:tc>
          <w:tcPr>
            <w:tcW w:w="2023" w:type="dxa"/>
            <w:tcBorders>
              <w:top w:val="single" w:sz="4" w:space="0" w:color="000000"/>
              <w:left w:val="single" w:sz="4" w:space="0" w:color="000000"/>
              <w:bottom w:val="single" w:sz="4" w:space="0" w:color="000000"/>
              <w:right w:val="nil"/>
            </w:tcBorders>
          </w:tcPr>
          <w:p w14:paraId="72025113" w14:textId="77777777" w:rsidR="00406B58" w:rsidRDefault="00000000">
            <w:pPr>
              <w:spacing w:after="0" w:line="259" w:lineRule="auto"/>
              <w:ind w:left="355" w:right="0" w:firstLine="0"/>
              <w:jc w:val="center"/>
            </w:pPr>
            <w:r>
              <w:rPr>
                <w:color w:val="000000"/>
              </w:rPr>
              <w:t xml:space="preserve">3.73 </w:t>
            </w:r>
          </w:p>
        </w:tc>
        <w:tc>
          <w:tcPr>
            <w:tcW w:w="405" w:type="dxa"/>
            <w:tcBorders>
              <w:top w:val="single" w:sz="4" w:space="0" w:color="000000"/>
              <w:left w:val="nil"/>
              <w:bottom w:val="single" w:sz="4" w:space="0" w:color="000000"/>
              <w:right w:val="single" w:sz="4" w:space="0" w:color="000000"/>
            </w:tcBorders>
          </w:tcPr>
          <w:p w14:paraId="5DED37B8" w14:textId="77777777" w:rsidR="00406B58" w:rsidRDefault="00406B58">
            <w:pPr>
              <w:spacing w:after="160" w:line="259" w:lineRule="auto"/>
              <w:ind w:left="0" w:right="0" w:firstLine="0"/>
              <w:jc w:val="left"/>
            </w:pPr>
          </w:p>
        </w:tc>
      </w:tr>
      <w:tr w:rsidR="00406B58" w14:paraId="30AFA2B0"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623AFBEF" w14:textId="77777777" w:rsidR="00406B58" w:rsidRDefault="00000000">
            <w:pPr>
              <w:spacing w:after="0" w:line="259" w:lineRule="auto"/>
              <w:ind w:left="2" w:right="0" w:firstLine="0"/>
              <w:jc w:val="left"/>
            </w:pPr>
            <w:r>
              <w:rPr>
                <w:color w:val="000000"/>
              </w:rPr>
              <w:t xml:space="preserve">6 </w:t>
            </w:r>
          </w:p>
        </w:tc>
        <w:tc>
          <w:tcPr>
            <w:tcW w:w="808" w:type="dxa"/>
            <w:tcBorders>
              <w:top w:val="single" w:sz="4" w:space="0" w:color="000000"/>
              <w:left w:val="single" w:sz="4" w:space="0" w:color="000000"/>
              <w:bottom w:val="single" w:sz="4" w:space="0" w:color="000000"/>
              <w:right w:val="single" w:sz="4" w:space="0" w:color="000000"/>
            </w:tcBorders>
          </w:tcPr>
          <w:p w14:paraId="0BDFF53E" w14:textId="77777777" w:rsidR="00406B58" w:rsidRDefault="00000000">
            <w:pPr>
              <w:spacing w:after="0" w:line="259" w:lineRule="auto"/>
              <w:ind w:left="0" w:right="0" w:firstLine="0"/>
              <w:jc w:val="left"/>
            </w:pPr>
            <w:r>
              <w:rPr>
                <w:color w:val="000000"/>
              </w:rPr>
              <w:t xml:space="preserve">33 </w:t>
            </w:r>
          </w:p>
        </w:tc>
        <w:tc>
          <w:tcPr>
            <w:tcW w:w="990" w:type="dxa"/>
            <w:tcBorders>
              <w:top w:val="single" w:sz="4" w:space="0" w:color="000000"/>
              <w:left w:val="single" w:sz="4" w:space="0" w:color="000000"/>
              <w:bottom w:val="single" w:sz="4" w:space="0" w:color="000000"/>
              <w:right w:val="single" w:sz="4" w:space="0" w:color="000000"/>
            </w:tcBorders>
          </w:tcPr>
          <w:p w14:paraId="29CFF0D7" w14:textId="77777777" w:rsidR="00406B58" w:rsidRDefault="00000000">
            <w:pPr>
              <w:spacing w:after="0" w:line="259" w:lineRule="auto"/>
              <w:ind w:left="2" w:right="0" w:firstLine="0"/>
              <w:jc w:val="left"/>
            </w:pPr>
            <w:r>
              <w:rPr>
                <w:color w:val="000000"/>
              </w:rPr>
              <w:t xml:space="preserve">49.4 </w:t>
            </w:r>
          </w:p>
        </w:tc>
        <w:tc>
          <w:tcPr>
            <w:tcW w:w="899" w:type="dxa"/>
            <w:tcBorders>
              <w:top w:val="single" w:sz="4" w:space="0" w:color="000000"/>
              <w:left w:val="single" w:sz="4" w:space="0" w:color="000000"/>
              <w:bottom w:val="single" w:sz="4" w:space="0" w:color="000000"/>
              <w:right w:val="single" w:sz="4" w:space="0" w:color="000000"/>
            </w:tcBorders>
          </w:tcPr>
          <w:p w14:paraId="29572D1E" w14:textId="77777777" w:rsidR="00406B58" w:rsidRDefault="00000000">
            <w:pPr>
              <w:spacing w:after="0" w:line="259" w:lineRule="auto"/>
              <w:ind w:left="0" w:right="0" w:firstLine="0"/>
              <w:jc w:val="left"/>
            </w:pPr>
            <w:r>
              <w:rPr>
                <w:color w:val="000000"/>
              </w:rPr>
              <w:t xml:space="preserve">-16.4 </w:t>
            </w:r>
          </w:p>
        </w:tc>
        <w:tc>
          <w:tcPr>
            <w:tcW w:w="1167" w:type="dxa"/>
            <w:tcBorders>
              <w:top w:val="single" w:sz="4" w:space="0" w:color="000000"/>
              <w:left w:val="single" w:sz="4" w:space="0" w:color="000000"/>
              <w:bottom w:val="single" w:sz="4" w:space="0" w:color="000000"/>
              <w:right w:val="single" w:sz="4" w:space="0" w:color="000000"/>
            </w:tcBorders>
          </w:tcPr>
          <w:p w14:paraId="106A968B" w14:textId="77777777" w:rsidR="00406B58" w:rsidRDefault="00000000">
            <w:pPr>
              <w:spacing w:after="0" w:line="259" w:lineRule="auto"/>
              <w:ind w:left="0" w:right="0" w:firstLine="0"/>
              <w:jc w:val="left"/>
            </w:pPr>
            <w:r>
              <w:rPr>
                <w:color w:val="000000"/>
              </w:rPr>
              <w:t xml:space="preserve">268.96 </w:t>
            </w:r>
          </w:p>
        </w:tc>
        <w:tc>
          <w:tcPr>
            <w:tcW w:w="2023" w:type="dxa"/>
            <w:tcBorders>
              <w:top w:val="single" w:sz="4" w:space="0" w:color="000000"/>
              <w:left w:val="single" w:sz="4" w:space="0" w:color="000000"/>
              <w:bottom w:val="single" w:sz="4" w:space="0" w:color="000000"/>
              <w:right w:val="nil"/>
            </w:tcBorders>
          </w:tcPr>
          <w:p w14:paraId="641E0047" w14:textId="77777777" w:rsidR="00406B58" w:rsidRDefault="00000000">
            <w:pPr>
              <w:spacing w:after="0" w:line="259" w:lineRule="auto"/>
              <w:ind w:left="355" w:right="0" w:firstLine="0"/>
              <w:jc w:val="center"/>
            </w:pPr>
            <w:r>
              <w:rPr>
                <w:color w:val="000000"/>
              </w:rPr>
              <w:t xml:space="preserve">8.15 </w:t>
            </w:r>
          </w:p>
        </w:tc>
        <w:tc>
          <w:tcPr>
            <w:tcW w:w="405" w:type="dxa"/>
            <w:tcBorders>
              <w:top w:val="single" w:sz="4" w:space="0" w:color="000000"/>
              <w:left w:val="nil"/>
              <w:bottom w:val="single" w:sz="4" w:space="0" w:color="000000"/>
              <w:right w:val="single" w:sz="4" w:space="0" w:color="000000"/>
            </w:tcBorders>
          </w:tcPr>
          <w:p w14:paraId="6DFD7CF5" w14:textId="77777777" w:rsidR="00406B58" w:rsidRDefault="00406B58">
            <w:pPr>
              <w:spacing w:after="160" w:line="259" w:lineRule="auto"/>
              <w:ind w:left="0" w:right="0" w:firstLine="0"/>
              <w:jc w:val="left"/>
            </w:pPr>
          </w:p>
        </w:tc>
      </w:tr>
      <w:tr w:rsidR="00406B58" w14:paraId="1F48596D"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5D011220" w14:textId="77777777" w:rsidR="00406B58" w:rsidRDefault="00000000">
            <w:pPr>
              <w:spacing w:after="0" w:line="259" w:lineRule="auto"/>
              <w:ind w:left="2" w:right="0" w:firstLine="0"/>
              <w:jc w:val="left"/>
            </w:pPr>
            <w:r>
              <w:rPr>
                <w:color w:val="000000"/>
              </w:rPr>
              <w:t xml:space="preserve">7 </w:t>
            </w:r>
          </w:p>
        </w:tc>
        <w:tc>
          <w:tcPr>
            <w:tcW w:w="808" w:type="dxa"/>
            <w:tcBorders>
              <w:top w:val="single" w:sz="4" w:space="0" w:color="000000"/>
              <w:left w:val="single" w:sz="4" w:space="0" w:color="000000"/>
              <w:bottom w:val="single" w:sz="4" w:space="0" w:color="000000"/>
              <w:right w:val="single" w:sz="4" w:space="0" w:color="000000"/>
            </w:tcBorders>
          </w:tcPr>
          <w:p w14:paraId="0D214DD0" w14:textId="77777777" w:rsidR="00406B58" w:rsidRDefault="00000000">
            <w:pPr>
              <w:spacing w:after="0" w:line="259" w:lineRule="auto"/>
              <w:ind w:left="0" w:right="0" w:firstLine="0"/>
              <w:jc w:val="left"/>
            </w:pPr>
            <w:r>
              <w:rPr>
                <w:color w:val="000000"/>
              </w:rPr>
              <w:t xml:space="preserve">41 </w:t>
            </w:r>
          </w:p>
        </w:tc>
        <w:tc>
          <w:tcPr>
            <w:tcW w:w="990" w:type="dxa"/>
            <w:tcBorders>
              <w:top w:val="single" w:sz="4" w:space="0" w:color="000000"/>
              <w:left w:val="single" w:sz="4" w:space="0" w:color="000000"/>
              <w:bottom w:val="single" w:sz="4" w:space="0" w:color="000000"/>
              <w:right w:val="single" w:sz="4" w:space="0" w:color="000000"/>
            </w:tcBorders>
          </w:tcPr>
          <w:p w14:paraId="51B2E586" w14:textId="77777777" w:rsidR="00406B58" w:rsidRDefault="00000000">
            <w:pPr>
              <w:spacing w:after="0" w:line="259" w:lineRule="auto"/>
              <w:ind w:left="2" w:right="0" w:firstLine="0"/>
              <w:jc w:val="left"/>
            </w:pPr>
            <w:r>
              <w:rPr>
                <w:color w:val="000000"/>
              </w:rPr>
              <w:t xml:space="preserve">49.4 </w:t>
            </w:r>
          </w:p>
        </w:tc>
        <w:tc>
          <w:tcPr>
            <w:tcW w:w="899" w:type="dxa"/>
            <w:tcBorders>
              <w:top w:val="single" w:sz="4" w:space="0" w:color="000000"/>
              <w:left w:val="single" w:sz="4" w:space="0" w:color="000000"/>
              <w:bottom w:val="single" w:sz="4" w:space="0" w:color="000000"/>
              <w:right w:val="single" w:sz="4" w:space="0" w:color="000000"/>
            </w:tcBorders>
          </w:tcPr>
          <w:p w14:paraId="571C3206" w14:textId="77777777" w:rsidR="00406B58" w:rsidRDefault="00000000">
            <w:pPr>
              <w:spacing w:after="0" w:line="259" w:lineRule="auto"/>
              <w:ind w:left="0" w:right="0" w:firstLine="0"/>
              <w:jc w:val="left"/>
            </w:pPr>
            <w:r>
              <w:rPr>
                <w:color w:val="000000"/>
              </w:rPr>
              <w:t xml:space="preserve">-8.4 </w:t>
            </w:r>
          </w:p>
        </w:tc>
        <w:tc>
          <w:tcPr>
            <w:tcW w:w="1167" w:type="dxa"/>
            <w:tcBorders>
              <w:top w:val="single" w:sz="4" w:space="0" w:color="000000"/>
              <w:left w:val="single" w:sz="4" w:space="0" w:color="000000"/>
              <w:bottom w:val="single" w:sz="4" w:space="0" w:color="000000"/>
              <w:right w:val="single" w:sz="4" w:space="0" w:color="000000"/>
            </w:tcBorders>
          </w:tcPr>
          <w:p w14:paraId="6FB8030B" w14:textId="77777777" w:rsidR="00406B58" w:rsidRDefault="00000000">
            <w:pPr>
              <w:spacing w:after="0" w:line="259" w:lineRule="auto"/>
              <w:ind w:left="0" w:right="0" w:firstLine="0"/>
              <w:jc w:val="left"/>
            </w:pPr>
            <w:r>
              <w:rPr>
                <w:color w:val="000000"/>
              </w:rPr>
              <w:t xml:space="preserve">70.56 </w:t>
            </w:r>
          </w:p>
        </w:tc>
        <w:tc>
          <w:tcPr>
            <w:tcW w:w="2023" w:type="dxa"/>
            <w:tcBorders>
              <w:top w:val="single" w:sz="4" w:space="0" w:color="000000"/>
              <w:left w:val="single" w:sz="4" w:space="0" w:color="000000"/>
              <w:bottom w:val="single" w:sz="4" w:space="0" w:color="000000"/>
              <w:right w:val="nil"/>
            </w:tcBorders>
          </w:tcPr>
          <w:p w14:paraId="0159A84C" w14:textId="77777777" w:rsidR="00406B58" w:rsidRDefault="00000000">
            <w:pPr>
              <w:spacing w:after="0" w:line="259" w:lineRule="auto"/>
              <w:ind w:left="355" w:right="0" w:firstLine="0"/>
              <w:jc w:val="center"/>
            </w:pPr>
            <w:r>
              <w:rPr>
                <w:color w:val="000000"/>
              </w:rPr>
              <w:t xml:space="preserve">1.72 </w:t>
            </w:r>
          </w:p>
        </w:tc>
        <w:tc>
          <w:tcPr>
            <w:tcW w:w="405" w:type="dxa"/>
            <w:tcBorders>
              <w:top w:val="single" w:sz="4" w:space="0" w:color="000000"/>
              <w:left w:val="nil"/>
              <w:bottom w:val="single" w:sz="4" w:space="0" w:color="000000"/>
              <w:right w:val="single" w:sz="4" w:space="0" w:color="000000"/>
            </w:tcBorders>
          </w:tcPr>
          <w:p w14:paraId="679A2347" w14:textId="77777777" w:rsidR="00406B58" w:rsidRDefault="00406B58">
            <w:pPr>
              <w:spacing w:after="160" w:line="259" w:lineRule="auto"/>
              <w:ind w:left="0" w:right="0" w:firstLine="0"/>
              <w:jc w:val="left"/>
            </w:pPr>
          </w:p>
        </w:tc>
      </w:tr>
      <w:tr w:rsidR="00406B58" w14:paraId="64467A0E"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359B687D" w14:textId="77777777" w:rsidR="00406B58" w:rsidRDefault="00000000">
            <w:pPr>
              <w:spacing w:after="0" w:line="259" w:lineRule="auto"/>
              <w:ind w:left="2" w:right="0" w:firstLine="0"/>
              <w:jc w:val="left"/>
            </w:pPr>
            <w:r>
              <w:rPr>
                <w:color w:val="000000"/>
              </w:rPr>
              <w:t xml:space="preserve">8 </w:t>
            </w:r>
          </w:p>
        </w:tc>
        <w:tc>
          <w:tcPr>
            <w:tcW w:w="808" w:type="dxa"/>
            <w:tcBorders>
              <w:top w:val="single" w:sz="4" w:space="0" w:color="000000"/>
              <w:left w:val="single" w:sz="4" w:space="0" w:color="000000"/>
              <w:bottom w:val="single" w:sz="4" w:space="0" w:color="000000"/>
              <w:right w:val="single" w:sz="4" w:space="0" w:color="000000"/>
            </w:tcBorders>
          </w:tcPr>
          <w:p w14:paraId="26045E9A" w14:textId="77777777" w:rsidR="00406B58" w:rsidRDefault="00000000">
            <w:pPr>
              <w:spacing w:after="0" w:line="259" w:lineRule="auto"/>
              <w:ind w:left="0" w:right="0" w:firstLine="0"/>
              <w:jc w:val="left"/>
            </w:pPr>
            <w:r>
              <w:rPr>
                <w:color w:val="000000"/>
              </w:rPr>
              <w:t xml:space="preserve">55 </w:t>
            </w:r>
          </w:p>
        </w:tc>
        <w:tc>
          <w:tcPr>
            <w:tcW w:w="990" w:type="dxa"/>
            <w:tcBorders>
              <w:top w:val="single" w:sz="4" w:space="0" w:color="000000"/>
              <w:left w:val="single" w:sz="4" w:space="0" w:color="000000"/>
              <w:bottom w:val="single" w:sz="4" w:space="0" w:color="000000"/>
              <w:right w:val="single" w:sz="4" w:space="0" w:color="000000"/>
            </w:tcBorders>
          </w:tcPr>
          <w:p w14:paraId="10ADEF99" w14:textId="77777777" w:rsidR="00406B58" w:rsidRDefault="00000000">
            <w:pPr>
              <w:spacing w:after="0" w:line="259" w:lineRule="auto"/>
              <w:ind w:left="2" w:right="0" w:firstLine="0"/>
              <w:jc w:val="left"/>
            </w:pPr>
            <w:r>
              <w:rPr>
                <w:color w:val="000000"/>
              </w:rPr>
              <w:t xml:space="preserve">49.4 </w:t>
            </w:r>
          </w:p>
        </w:tc>
        <w:tc>
          <w:tcPr>
            <w:tcW w:w="899" w:type="dxa"/>
            <w:tcBorders>
              <w:top w:val="single" w:sz="4" w:space="0" w:color="000000"/>
              <w:left w:val="single" w:sz="4" w:space="0" w:color="000000"/>
              <w:bottom w:val="single" w:sz="4" w:space="0" w:color="000000"/>
              <w:right w:val="single" w:sz="4" w:space="0" w:color="000000"/>
            </w:tcBorders>
          </w:tcPr>
          <w:p w14:paraId="7BCD7627" w14:textId="77777777" w:rsidR="00406B58" w:rsidRDefault="00000000">
            <w:pPr>
              <w:spacing w:after="0" w:line="259" w:lineRule="auto"/>
              <w:ind w:left="0" w:right="0" w:firstLine="0"/>
              <w:jc w:val="left"/>
            </w:pPr>
            <w:r>
              <w:rPr>
                <w:color w:val="000000"/>
              </w:rPr>
              <w:t xml:space="preserve">5.6 </w:t>
            </w:r>
          </w:p>
        </w:tc>
        <w:tc>
          <w:tcPr>
            <w:tcW w:w="1167" w:type="dxa"/>
            <w:tcBorders>
              <w:top w:val="single" w:sz="4" w:space="0" w:color="000000"/>
              <w:left w:val="single" w:sz="4" w:space="0" w:color="000000"/>
              <w:bottom w:val="single" w:sz="4" w:space="0" w:color="000000"/>
              <w:right w:val="single" w:sz="4" w:space="0" w:color="000000"/>
            </w:tcBorders>
          </w:tcPr>
          <w:p w14:paraId="143AB181" w14:textId="77777777" w:rsidR="00406B58" w:rsidRDefault="00000000">
            <w:pPr>
              <w:spacing w:after="0" w:line="259" w:lineRule="auto"/>
              <w:ind w:left="0" w:right="0" w:firstLine="0"/>
              <w:jc w:val="left"/>
            </w:pPr>
            <w:r>
              <w:rPr>
                <w:color w:val="000000"/>
              </w:rPr>
              <w:t xml:space="preserve">31.36 </w:t>
            </w:r>
          </w:p>
        </w:tc>
        <w:tc>
          <w:tcPr>
            <w:tcW w:w="2023" w:type="dxa"/>
            <w:tcBorders>
              <w:top w:val="single" w:sz="4" w:space="0" w:color="000000"/>
              <w:left w:val="single" w:sz="4" w:space="0" w:color="000000"/>
              <w:bottom w:val="single" w:sz="4" w:space="0" w:color="000000"/>
              <w:right w:val="nil"/>
            </w:tcBorders>
          </w:tcPr>
          <w:p w14:paraId="2AB854BE" w14:textId="77777777" w:rsidR="00406B58" w:rsidRDefault="00000000">
            <w:pPr>
              <w:spacing w:after="0" w:line="259" w:lineRule="auto"/>
              <w:ind w:left="355" w:right="0" w:firstLine="0"/>
              <w:jc w:val="center"/>
            </w:pPr>
            <w:r>
              <w:rPr>
                <w:color w:val="000000"/>
              </w:rPr>
              <w:t xml:space="preserve">0.57 </w:t>
            </w:r>
          </w:p>
        </w:tc>
        <w:tc>
          <w:tcPr>
            <w:tcW w:w="405" w:type="dxa"/>
            <w:tcBorders>
              <w:top w:val="single" w:sz="4" w:space="0" w:color="000000"/>
              <w:left w:val="nil"/>
              <w:bottom w:val="single" w:sz="4" w:space="0" w:color="000000"/>
              <w:right w:val="single" w:sz="4" w:space="0" w:color="000000"/>
            </w:tcBorders>
          </w:tcPr>
          <w:p w14:paraId="7C97BD4F" w14:textId="77777777" w:rsidR="00406B58" w:rsidRDefault="00406B58">
            <w:pPr>
              <w:spacing w:after="160" w:line="259" w:lineRule="auto"/>
              <w:ind w:left="0" w:right="0" w:firstLine="0"/>
              <w:jc w:val="left"/>
            </w:pPr>
          </w:p>
        </w:tc>
      </w:tr>
      <w:tr w:rsidR="00406B58" w14:paraId="2C8A70B2"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7EC55CC0" w14:textId="77777777" w:rsidR="00406B58" w:rsidRDefault="00000000">
            <w:pPr>
              <w:spacing w:after="0" w:line="259" w:lineRule="auto"/>
              <w:ind w:left="2" w:right="0" w:firstLine="0"/>
              <w:jc w:val="left"/>
            </w:pPr>
            <w:r>
              <w:rPr>
                <w:color w:val="000000"/>
              </w:rPr>
              <w:t xml:space="preserve">9 </w:t>
            </w:r>
          </w:p>
        </w:tc>
        <w:tc>
          <w:tcPr>
            <w:tcW w:w="808" w:type="dxa"/>
            <w:tcBorders>
              <w:top w:val="single" w:sz="4" w:space="0" w:color="000000"/>
              <w:left w:val="single" w:sz="4" w:space="0" w:color="000000"/>
              <w:bottom w:val="single" w:sz="4" w:space="0" w:color="000000"/>
              <w:right w:val="single" w:sz="4" w:space="0" w:color="000000"/>
            </w:tcBorders>
          </w:tcPr>
          <w:p w14:paraId="748420A4" w14:textId="77777777" w:rsidR="00406B58" w:rsidRDefault="00000000">
            <w:pPr>
              <w:spacing w:after="0" w:line="259" w:lineRule="auto"/>
              <w:ind w:left="0" w:right="0" w:firstLine="0"/>
              <w:jc w:val="left"/>
            </w:pPr>
            <w:r>
              <w:rPr>
                <w:color w:val="000000"/>
              </w:rPr>
              <w:t xml:space="preserve">51 </w:t>
            </w:r>
          </w:p>
        </w:tc>
        <w:tc>
          <w:tcPr>
            <w:tcW w:w="990" w:type="dxa"/>
            <w:tcBorders>
              <w:top w:val="single" w:sz="4" w:space="0" w:color="000000"/>
              <w:left w:val="single" w:sz="4" w:space="0" w:color="000000"/>
              <w:bottom w:val="single" w:sz="4" w:space="0" w:color="000000"/>
              <w:right w:val="single" w:sz="4" w:space="0" w:color="000000"/>
            </w:tcBorders>
          </w:tcPr>
          <w:p w14:paraId="0BE52D31" w14:textId="77777777" w:rsidR="00406B58" w:rsidRDefault="00000000">
            <w:pPr>
              <w:spacing w:after="0" w:line="259" w:lineRule="auto"/>
              <w:ind w:left="2" w:right="0" w:firstLine="0"/>
              <w:jc w:val="left"/>
            </w:pPr>
            <w:r>
              <w:rPr>
                <w:color w:val="000000"/>
              </w:rPr>
              <w:t xml:space="preserve">49.4 </w:t>
            </w:r>
          </w:p>
        </w:tc>
        <w:tc>
          <w:tcPr>
            <w:tcW w:w="899" w:type="dxa"/>
            <w:tcBorders>
              <w:top w:val="single" w:sz="4" w:space="0" w:color="000000"/>
              <w:left w:val="single" w:sz="4" w:space="0" w:color="000000"/>
              <w:bottom w:val="single" w:sz="4" w:space="0" w:color="000000"/>
              <w:right w:val="single" w:sz="4" w:space="0" w:color="000000"/>
            </w:tcBorders>
          </w:tcPr>
          <w:p w14:paraId="72035CC8" w14:textId="77777777" w:rsidR="00406B58" w:rsidRDefault="00000000">
            <w:pPr>
              <w:spacing w:after="0" w:line="259" w:lineRule="auto"/>
              <w:ind w:left="0" w:right="0" w:firstLine="0"/>
              <w:jc w:val="left"/>
            </w:pPr>
            <w:r>
              <w:rPr>
                <w:color w:val="000000"/>
              </w:rPr>
              <w:t xml:space="preserve">1.6 </w:t>
            </w:r>
          </w:p>
        </w:tc>
        <w:tc>
          <w:tcPr>
            <w:tcW w:w="1167" w:type="dxa"/>
            <w:tcBorders>
              <w:top w:val="single" w:sz="4" w:space="0" w:color="000000"/>
              <w:left w:val="single" w:sz="4" w:space="0" w:color="000000"/>
              <w:bottom w:val="single" w:sz="4" w:space="0" w:color="000000"/>
              <w:right w:val="single" w:sz="4" w:space="0" w:color="000000"/>
            </w:tcBorders>
          </w:tcPr>
          <w:p w14:paraId="060B5667" w14:textId="77777777" w:rsidR="00406B58" w:rsidRDefault="00000000">
            <w:pPr>
              <w:spacing w:after="0" w:line="259" w:lineRule="auto"/>
              <w:ind w:left="0" w:right="0" w:firstLine="0"/>
              <w:jc w:val="left"/>
            </w:pPr>
            <w:r>
              <w:rPr>
                <w:color w:val="000000"/>
              </w:rPr>
              <w:t xml:space="preserve">2.56 </w:t>
            </w:r>
          </w:p>
        </w:tc>
        <w:tc>
          <w:tcPr>
            <w:tcW w:w="2023" w:type="dxa"/>
            <w:tcBorders>
              <w:top w:val="single" w:sz="4" w:space="0" w:color="000000"/>
              <w:left w:val="single" w:sz="4" w:space="0" w:color="000000"/>
              <w:bottom w:val="single" w:sz="4" w:space="0" w:color="000000"/>
              <w:right w:val="nil"/>
            </w:tcBorders>
          </w:tcPr>
          <w:p w14:paraId="7BFE56B3" w14:textId="77777777" w:rsidR="00406B58" w:rsidRDefault="00000000">
            <w:pPr>
              <w:spacing w:after="0" w:line="259" w:lineRule="auto"/>
              <w:ind w:left="355" w:right="0" w:firstLine="0"/>
              <w:jc w:val="center"/>
            </w:pPr>
            <w:r>
              <w:rPr>
                <w:color w:val="000000"/>
              </w:rPr>
              <w:t xml:space="preserve">0.05 </w:t>
            </w:r>
          </w:p>
        </w:tc>
        <w:tc>
          <w:tcPr>
            <w:tcW w:w="405" w:type="dxa"/>
            <w:tcBorders>
              <w:top w:val="single" w:sz="4" w:space="0" w:color="000000"/>
              <w:left w:val="nil"/>
              <w:bottom w:val="single" w:sz="4" w:space="0" w:color="000000"/>
              <w:right w:val="single" w:sz="4" w:space="0" w:color="000000"/>
            </w:tcBorders>
          </w:tcPr>
          <w:p w14:paraId="67511473" w14:textId="77777777" w:rsidR="00406B58" w:rsidRDefault="00406B58">
            <w:pPr>
              <w:spacing w:after="160" w:line="259" w:lineRule="auto"/>
              <w:ind w:left="0" w:right="0" w:firstLine="0"/>
              <w:jc w:val="left"/>
            </w:pPr>
          </w:p>
        </w:tc>
      </w:tr>
      <w:tr w:rsidR="00406B58" w14:paraId="22E9BE75" w14:textId="77777777">
        <w:trPr>
          <w:trHeight w:val="288"/>
        </w:trPr>
        <w:tc>
          <w:tcPr>
            <w:tcW w:w="805" w:type="dxa"/>
            <w:tcBorders>
              <w:top w:val="single" w:sz="4" w:space="0" w:color="000000"/>
              <w:left w:val="single" w:sz="4" w:space="0" w:color="000000"/>
              <w:bottom w:val="single" w:sz="4" w:space="0" w:color="000000"/>
              <w:right w:val="single" w:sz="4" w:space="0" w:color="000000"/>
            </w:tcBorders>
          </w:tcPr>
          <w:p w14:paraId="56122C3D" w14:textId="77777777" w:rsidR="00406B58" w:rsidRDefault="00000000">
            <w:pPr>
              <w:spacing w:after="0" w:line="259" w:lineRule="auto"/>
              <w:ind w:left="2" w:right="0" w:firstLine="0"/>
              <w:jc w:val="left"/>
            </w:pPr>
            <w:r>
              <w:rPr>
                <w:color w:val="000000"/>
              </w:rPr>
              <w:t xml:space="preserve">10 </w:t>
            </w:r>
          </w:p>
        </w:tc>
        <w:tc>
          <w:tcPr>
            <w:tcW w:w="808" w:type="dxa"/>
            <w:tcBorders>
              <w:top w:val="single" w:sz="4" w:space="0" w:color="000000"/>
              <w:left w:val="single" w:sz="4" w:space="0" w:color="000000"/>
              <w:bottom w:val="single" w:sz="4" w:space="0" w:color="000000"/>
              <w:right w:val="single" w:sz="4" w:space="0" w:color="000000"/>
            </w:tcBorders>
          </w:tcPr>
          <w:p w14:paraId="1237F642" w14:textId="77777777" w:rsidR="00406B58" w:rsidRDefault="00000000">
            <w:pPr>
              <w:spacing w:after="0" w:line="259" w:lineRule="auto"/>
              <w:ind w:left="0" w:right="0" w:firstLine="0"/>
              <w:jc w:val="left"/>
            </w:pPr>
            <w:r>
              <w:rPr>
                <w:color w:val="000000"/>
              </w:rPr>
              <w:t xml:space="preserve">67 </w:t>
            </w:r>
          </w:p>
        </w:tc>
        <w:tc>
          <w:tcPr>
            <w:tcW w:w="990" w:type="dxa"/>
            <w:tcBorders>
              <w:top w:val="single" w:sz="4" w:space="0" w:color="000000"/>
              <w:left w:val="single" w:sz="4" w:space="0" w:color="000000"/>
              <w:bottom w:val="single" w:sz="4" w:space="0" w:color="000000"/>
              <w:right w:val="single" w:sz="4" w:space="0" w:color="000000"/>
            </w:tcBorders>
          </w:tcPr>
          <w:p w14:paraId="07EEEA24" w14:textId="77777777" w:rsidR="00406B58" w:rsidRDefault="00000000">
            <w:pPr>
              <w:spacing w:after="0" w:line="259" w:lineRule="auto"/>
              <w:ind w:left="2" w:right="0" w:firstLine="0"/>
              <w:jc w:val="left"/>
            </w:pPr>
            <w:r>
              <w:rPr>
                <w:color w:val="000000"/>
              </w:rPr>
              <w:t xml:space="preserve">49.4 </w:t>
            </w:r>
          </w:p>
        </w:tc>
        <w:tc>
          <w:tcPr>
            <w:tcW w:w="899" w:type="dxa"/>
            <w:tcBorders>
              <w:top w:val="single" w:sz="4" w:space="0" w:color="000000"/>
              <w:left w:val="single" w:sz="4" w:space="0" w:color="000000"/>
              <w:bottom w:val="single" w:sz="4" w:space="0" w:color="000000"/>
              <w:right w:val="single" w:sz="4" w:space="0" w:color="000000"/>
            </w:tcBorders>
          </w:tcPr>
          <w:p w14:paraId="73992856" w14:textId="77777777" w:rsidR="00406B58" w:rsidRDefault="00000000">
            <w:pPr>
              <w:spacing w:after="0" w:line="259" w:lineRule="auto"/>
              <w:ind w:left="0" w:right="0" w:firstLine="0"/>
              <w:jc w:val="left"/>
            </w:pPr>
            <w:r>
              <w:rPr>
                <w:color w:val="000000"/>
              </w:rPr>
              <w:t xml:space="preserve">17.6 </w:t>
            </w:r>
          </w:p>
        </w:tc>
        <w:tc>
          <w:tcPr>
            <w:tcW w:w="1167" w:type="dxa"/>
            <w:tcBorders>
              <w:top w:val="single" w:sz="4" w:space="0" w:color="000000"/>
              <w:left w:val="single" w:sz="4" w:space="0" w:color="000000"/>
              <w:bottom w:val="single" w:sz="4" w:space="0" w:color="000000"/>
              <w:right w:val="single" w:sz="4" w:space="0" w:color="000000"/>
            </w:tcBorders>
          </w:tcPr>
          <w:p w14:paraId="55AD7376" w14:textId="77777777" w:rsidR="00406B58" w:rsidRDefault="00000000">
            <w:pPr>
              <w:spacing w:after="0" w:line="259" w:lineRule="auto"/>
              <w:ind w:left="0" w:right="0" w:firstLine="0"/>
              <w:jc w:val="left"/>
            </w:pPr>
            <w:r>
              <w:rPr>
                <w:color w:val="000000"/>
              </w:rPr>
              <w:t xml:space="preserve">309.76 </w:t>
            </w:r>
          </w:p>
        </w:tc>
        <w:tc>
          <w:tcPr>
            <w:tcW w:w="2023" w:type="dxa"/>
            <w:tcBorders>
              <w:top w:val="single" w:sz="4" w:space="0" w:color="000000"/>
              <w:left w:val="single" w:sz="4" w:space="0" w:color="000000"/>
              <w:bottom w:val="single" w:sz="4" w:space="0" w:color="000000"/>
              <w:right w:val="nil"/>
            </w:tcBorders>
          </w:tcPr>
          <w:p w14:paraId="7A335865" w14:textId="77777777" w:rsidR="00406B58" w:rsidRDefault="00000000">
            <w:pPr>
              <w:spacing w:after="0" w:line="259" w:lineRule="auto"/>
              <w:ind w:left="355" w:right="0" w:firstLine="0"/>
              <w:jc w:val="center"/>
            </w:pPr>
            <w:r>
              <w:rPr>
                <w:color w:val="000000"/>
              </w:rPr>
              <w:t xml:space="preserve">4.62 </w:t>
            </w:r>
          </w:p>
        </w:tc>
        <w:tc>
          <w:tcPr>
            <w:tcW w:w="405" w:type="dxa"/>
            <w:tcBorders>
              <w:top w:val="single" w:sz="4" w:space="0" w:color="000000"/>
              <w:left w:val="nil"/>
              <w:bottom w:val="single" w:sz="4" w:space="0" w:color="000000"/>
              <w:right w:val="single" w:sz="4" w:space="0" w:color="000000"/>
            </w:tcBorders>
          </w:tcPr>
          <w:p w14:paraId="1ED3156D" w14:textId="77777777" w:rsidR="00406B58" w:rsidRDefault="00406B58">
            <w:pPr>
              <w:spacing w:after="160" w:line="259" w:lineRule="auto"/>
              <w:ind w:left="0" w:right="0" w:firstLine="0"/>
              <w:jc w:val="left"/>
            </w:pPr>
          </w:p>
        </w:tc>
      </w:tr>
      <w:tr w:rsidR="00406B58" w14:paraId="23342E4B" w14:textId="77777777">
        <w:trPr>
          <w:trHeight w:val="285"/>
        </w:trPr>
        <w:tc>
          <w:tcPr>
            <w:tcW w:w="805" w:type="dxa"/>
            <w:tcBorders>
              <w:top w:val="single" w:sz="4" w:space="0" w:color="000000"/>
              <w:left w:val="single" w:sz="4" w:space="0" w:color="000000"/>
              <w:bottom w:val="single" w:sz="4" w:space="0" w:color="000000"/>
              <w:right w:val="single" w:sz="4" w:space="0" w:color="000000"/>
            </w:tcBorders>
          </w:tcPr>
          <w:p w14:paraId="7C3C4965" w14:textId="77777777" w:rsidR="00406B58" w:rsidRDefault="00000000">
            <w:pPr>
              <w:spacing w:after="0" w:line="259" w:lineRule="auto"/>
              <w:ind w:left="2" w:right="0" w:firstLine="0"/>
              <w:jc w:val="left"/>
            </w:pPr>
            <w:r>
              <w:rPr>
                <w:color w:val="000000"/>
              </w:rPr>
              <w:t xml:space="preserve"> </w:t>
            </w:r>
          </w:p>
        </w:tc>
        <w:tc>
          <w:tcPr>
            <w:tcW w:w="808" w:type="dxa"/>
            <w:tcBorders>
              <w:top w:val="single" w:sz="4" w:space="0" w:color="000000"/>
              <w:left w:val="single" w:sz="4" w:space="0" w:color="000000"/>
              <w:bottom w:val="single" w:sz="4" w:space="0" w:color="000000"/>
              <w:right w:val="single" w:sz="4" w:space="0" w:color="000000"/>
            </w:tcBorders>
          </w:tcPr>
          <w:p w14:paraId="2FD89F0E" w14:textId="77777777" w:rsidR="00406B58" w:rsidRDefault="00000000">
            <w:pPr>
              <w:spacing w:after="0" w:line="259" w:lineRule="auto"/>
              <w:ind w:left="0" w:right="0" w:firstLine="0"/>
              <w:jc w:val="left"/>
            </w:pPr>
            <w:r>
              <w:rPr>
                <w:color w:val="00000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245A9D33" w14:textId="77777777" w:rsidR="00406B58" w:rsidRDefault="00000000">
            <w:pPr>
              <w:spacing w:after="0" w:line="259" w:lineRule="auto"/>
              <w:ind w:left="2" w:right="0" w:firstLine="0"/>
              <w:jc w:val="left"/>
            </w:pPr>
            <w:r>
              <w:rPr>
                <w:color w:val="00000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34D8172" w14:textId="77777777" w:rsidR="00406B58" w:rsidRDefault="00000000">
            <w:pPr>
              <w:spacing w:after="0" w:line="259" w:lineRule="auto"/>
              <w:ind w:left="0" w:right="0" w:firstLine="0"/>
              <w:jc w:val="left"/>
            </w:pPr>
            <w:r>
              <w:rPr>
                <w:color w:val="000000"/>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0F6BDD0A" w14:textId="77777777" w:rsidR="00406B58" w:rsidRDefault="00000000">
            <w:pPr>
              <w:spacing w:after="0" w:line="259" w:lineRule="auto"/>
              <w:ind w:left="0" w:right="0" w:firstLine="0"/>
              <w:jc w:val="left"/>
            </w:pPr>
            <w:r>
              <w:rPr>
                <w:color w:val="000000"/>
              </w:rPr>
              <w:t xml:space="preserve"> </w:t>
            </w:r>
          </w:p>
        </w:tc>
        <w:tc>
          <w:tcPr>
            <w:tcW w:w="2023" w:type="dxa"/>
            <w:tcBorders>
              <w:top w:val="single" w:sz="4" w:space="0" w:color="000000"/>
              <w:left w:val="single" w:sz="4" w:space="0" w:color="000000"/>
              <w:bottom w:val="single" w:sz="4" w:space="0" w:color="000000"/>
              <w:right w:val="nil"/>
            </w:tcBorders>
          </w:tcPr>
          <w:p w14:paraId="380B8E51" w14:textId="77777777" w:rsidR="00406B58" w:rsidRDefault="00000000">
            <w:pPr>
              <w:spacing w:after="0" w:line="259" w:lineRule="auto"/>
              <w:ind w:left="346" w:right="0" w:firstLine="0"/>
              <w:jc w:val="center"/>
            </w:pPr>
            <w:r>
              <w:rPr>
                <w:color w:val="000000"/>
              </w:rPr>
              <w:t xml:space="preserve">22.116 </w:t>
            </w:r>
          </w:p>
        </w:tc>
        <w:tc>
          <w:tcPr>
            <w:tcW w:w="405" w:type="dxa"/>
            <w:tcBorders>
              <w:top w:val="single" w:sz="4" w:space="0" w:color="000000"/>
              <w:left w:val="nil"/>
              <w:bottom w:val="single" w:sz="4" w:space="0" w:color="000000"/>
              <w:right w:val="single" w:sz="4" w:space="0" w:color="000000"/>
            </w:tcBorders>
          </w:tcPr>
          <w:p w14:paraId="2E5F906B" w14:textId="77777777" w:rsidR="00406B58" w:rsidRDefault="00406B58">
            <w:pPr>
              <w:spacing w:after="160" w:line="259" w:lineRule="auto"/>
              <w:ind w:left="0" w:right="0" w:firstLine="0"/>
              <w:jc w:val="left"/>
            </w:pPr>
          </w:p>
        </w:tc>
      </w:tr>
    </w:tbl>
    <w:p w14:paraId="23E0A96C" w14:textId="77777777" w:rsidR="00406B58" w:rsidRDefault="00000000">
      <w:pPr>
        <w:spacing w:after="77" w:line="259" w:lineRule="auto"/>
        <w:ind w:left="820" w:right="0" w:firstLine="0"/>
        <w:jc w:val="left"/>
      </w:pPr>
      <w:r>
        <w:rPr>
          <w:rFonts w:ascii="Calibri" w:eastAsia="Calibri" w:hAnsi="Calibri" w:cs="Calibri"/>
          <w:color w:val="000000"/>
          <w:sz w:val="22"/>
        </w:rPr>
        <w:t xml:space="preserve"> </w:t>
      </w:r>
    </w:p>
    <w:p w14:paraId="7CD05438" w14:textId="77777777" w:rsidR="00406B58" w:rsidRDefault="00000000">
      <w:pPr>
        <w:pStyle w:val="Heading2"/>
        <w:ind w:left="3" w:right="1"/>
      </w:pPr>
      <w:r>
        <w:t>The Decision table analysis</w:t>
      </w:r>
    </w:p>
    <w:tbl>
      <w:tblPr>
        <w:tblStyle w:val="TableGrid"/>
        <w:tblW w:w="7725" w:type="dxa"/>
        <w:tblInd w:w="522" w:type="dxa"/>
        <w:tblCellMar>
          <w:top w:w="54" w:type="dxa"/>
          <w:left w:w="105" w:type="dxa"/>
          <w:bottom w:w="0" w:type="dxa"/>
          <w:right w:w="37" w:type="dxa"/>
        </w:tblCellMar>
        <w:tblLook w:val="04A0" w:firstRow="1" w:lastRow="0" w:firstColumn="1" w:lastColumn="0" w:noHBand="0" w:noVBand="1"/>
      </w:tblPr>
      <w:tblGrid>
        <w:gridCol w:w="1438"/>
        <w:gridCol w:w="719"/>
        <w:gridCol w:w="1613"/>
        <w:gridCol w:w="1618"/>
        <w:gridCol w:w="630"/>
        <w:gridCol w:w="1707"/>
      </w:tblGrid>
      <w:tr w:rsidR="00406B58" w14:paraId="1DCD0A25" w14:textId="77777777">
        <w:trPr>
          <w:trHeight w:val="561"/>
        </w:trPr>
        <w:tc>
          <w:tcPr>
            <w:tcW w:w="1438" w:type="dxa"/>
            <w:tcBorders>
              <w:top w:val="single" w:sz="4" w:space="0" w:color="000000"/>
              <w:left w:val="single" w:sz="4" w:space="0" w:color="000000"/>
              <w:bottom w:val="single" w:sz="4" w:space="0" w:color="000000"/>
              <w:right w:val="single" w:sz="4" w:space="0" w:color="000000"/>
            </w:tcBorders>
          </w:tcPr>
          <w:p w14:paraId="5F3BED31" w14:textId="77777777" w:rsidR="00406B58" w:rsidRDefault="00000000">
            <w:pPr>
              <w:spacing w:after="0" w:line="259" w:lineRule="auto"/>
              <w:ind w:left="2" w:right="0" w:firstLine="0"/>
              <w:jc w:val="left"/>
            </w:pPr>
            <w:r>
              <w:rPr>
                <w:b/>
                <w:color w:val="000000"/>
              </w:rPr>
              <w:t xml:space="preserve">Group </w:t>
            </w:r>
          </w:p>
        </w:tc>
        <w:tc>
          <w:tcPr>
            <w:tcW w:w="719" w:type="dxa"/>
            <w:tcBorders>
              <w:top w:val="single" w:sz="4" w:space="0" w:color="000000"/>
              <w:left w:val="single" w:sz="4" w:space="0" w:color="000000"/>
              <w:bottom w:val="single" w:sz="4" w:space="0" w:color="000000"/>
              <w:right w:val="single" w:sz="4" w:space="0" w:color="000000"/>
            </w:tcBorders>
          </w:tcPr>
          <w:p w14:paraId="19074C97" w14:textId="77777777" w:rsidR="00406B58" w:rsidRDefault="00000000">
            <w:pPr>
              <w:spacing w:after="0" w:line="259" w:lineRule="auto"/>
              <w:ind w:left="2" w:right="0" w:firstLine="0"/>
              <w:jc w:val="left"/>
            </w:pPr>
            <w:r>
              <w:rPr>
                <w:b/>
                <w:color w:val="000000"/>
              </w:rPr>
              <w:t xml:space="preserve">Size </w:t>
            </w:r>
          </w:p>
        </w:tc>
        <w:tc>
          <w:tcPr>
            <w:tcW w:w="1613" w:type="dxa"/>
            <w:tcBorders>
              <w:top w:val="single" w:sz="4" w:space="0" w:color="000000"/>
              <w:left w:val="single" w:sz="4" w:space="0" w:color="000000"/>
              <w:bottom w:val="single" w:sz="4" w:space="0" w:color="000000"/>
              <w:right w:val="single" w:sz="4" w:space="0" w:color="000000"/>
            </w:tcBorders>
          </w:tcPr>
          <w:p w14:paraId="481203E3" w14:textId="77777777" w:rsidR="00406B58" w:rsidRDefault="00000000">
            <w:pPr>
              <w:spacing w:after="0" w:line="259" w:lineRule="auto"/>
              <w:ind w:left="2" w:right="0" w:firstLine="0"/>
              <w:jc w:val="left"/>
            </w:pPr>
            <w:r>
              <w:rPr>
                <w:b/>
                <w:color w:val="000000"/>
              </w:rPr>
              <w:t>X</w:t>
            </w:r>
            <w:r>
              <w:rPr>
                <w:b/>
                <w:color w:val="000000"/>
                <w:vertAlign w:val="superscript"/>
              </w:rPr>
              <w:t xml:space="preserve">2 </w:t>
            </w:r>
            <w:r>
              <w:rPr>
                <w:b/>
                <w:color w:val="000000"/>
              </w:rPr>
              <w:t xml:space="preserve">calculated </w:t>
            </w:r>
          </w:p>
        </w:tc>
        <w:tc>
          <w:tcPr>
            <w:tcW w:w="1618" w:type="dxa"/>
            <w:tcBorders>
              <w:top w:val="single" w:sz="4" w:space="0" w:color="000000"/>
              <w:left w:val="single" w:sz="4" w:space="0" w:color="000000"/>
              <w:bottom w:val="single" w:sz="4" w:space="0" w:color="000000"/>
              <w:right w:val="single" w:sz="4" w:space="0" w:color="000000"/>
            </w:tcBorders>
          </w:tcPr>
          <w:p w14:paraId="762BFCCB" w14:textId="77777777" w:rsidR="00406B58" w:rsidRDefault="00000000">
            <w:pPr>
              <w:spacing w:after="0" w:line="259" w:lineRule="auto"/>
              <w:ind w:left="2" w:right="0" w:firstLine="0"/>
              <w:jc w:val="left"/>
            </w:pPr>
            <w:r>
              <w:rPr>
                <w:b/>
                <w:color w:val="000000"/>
              </w:rPr>
              <w:t>X</w:t>
            </w:r>
            <w:r>
              <w:rPr>
                <w:b/>
                <w:color w:val="000000"/>
                <w:vertAlign w:val="superscript"/>
              </w:rPr>
              <w:t>2</w:t>
            </w:r>
            <w:r>
              <w:rPr>
                <w:b/>
                <w:color w:val="000000"/>
              </w:rPr>
              <w:t xml:space="preserve"> tabulated </w:t>
            </w:r>
          </w:p>
        </w:tc>
        <w:tc>
          <w:tcPr>
            <w:tcW w:w="630" w:type="dxa"/>
            <w:tcBorders>
              <w:top w:val="single" w:sz="4" w:space="0" w:color="000000"/>
              <w:left w:val="single" w:sz="4" w:space="0" w:color="000000"/>
              <w:bottom w:val="single" w:sz="4" w:space="0" w:color="000000"/>
              <w:right w:val="single" w:sz="4" w:space="0" w:color="000000"/>
            </w:tcBorders>
          </w:tcPr>
          <w:p w14:paraId="108DF614" w14:textId="77777777" w:rsidR="00406B58" w:rsidRDefault="00000000">
            <w:pPr>
              <w:spacing w:after="0" w:line="259" w:lineRule="auto"/>
              <w:ind w:left="2" w:right="0" w:firstLine="0"/>
              <w:jc w:val="left"/>
            </w:pPr>
            <w:r>
              <w:rPr>
                <w:b/>
                <w:color w:val="000000"/>
              </w:rPr>
              <w:t xml:space="preserve">Df </w:t>
            </w:r>
          </w:p>
        </w:tc>
        <w:tc>
          <w:tcPr>
            <w:tcW w:w="1707" w:type="dxa"/>
            <w:tcBorders>
              <w:top w:val="single" w:sz="4" w:space="0" w:color="000000"/>
              <w:left w:val="single" w:sz="4" w:space="0" w:color="000000"/>
              <w:bottom w:val="single" w:sz="4" w:space="0" w:color="000000"/>
              <w:right w:val="single" w:sz="4" w:space="0" w:color="000000"/>
            </w:tcBorders>
          </w:tcPr>
          <w:p w14:paraId="31261A55" w14:textId="77777777" w:rsidR="00406B58" w:rsidRDefault="00000000">
            <w:pPr>
              <w:spacing w:after="0" w:line="259" w:lineRule="auto"/>
              <w:ind w:left="0" w:right="0" w:firstLine="0"/>
              <w:jc w:val="left"/>
            </w:pPr>
            <w:r>
              <w:rPr>
                <w:b/>
                <w:color w:val="000000"/>
              </w:rPr>
              <w:t xml:space="preserve">Decision of the hypothesis </w:t>
            </w:r>
          </w:p>
        </w:tc>
      </w:tr>
      <w:tr w:rsidR="00406B58" w14:paraId="779C8209" w14:textId="77777777">
        <w:trPr>
          <w:trHeight w:val="285"/>
        </w:trPr>
        <w:tc>
          <w:tcPr>
            <w:tcW w:w="1438" w:type="dxa"/>
            <w:tcBorders>
              <w:top w:val="single" w:sz="4" w:space="0" w:color="000000"/>
              <w:left w:val="single" w:sz="4" w:space="0" w:color="000000"/>
              <w:bottom w:val="single" w:sz="4" w:space="0" w:color="000000"/>
              <w:right w:val="single" w:sz="4" w:space="0" w:color="000000"/>
            </w:tcBorders>
          </w:tcPr>
          <w:p w14:paraId="5E0AEA0F" w14:textId="77777777" w:rsidR="00406B58" w:rsidRDefault="00000000">
            <w:pPr>
              <w:spacing w:after="0" w:line="259" w:lineRule="auto"/>
              <w:ind w:left="2" w:right="0" w:firstLine="0"/>
              <w:jc w:val="left"/>
            </w:pPr>
            <w:r>
              <w:rPr>
                <w:color w:val="000000"/>
              </w:rPr>
              <w:t xml:space="preserve">Agree </w:t>
            </w:r>
          </w:p>
        </w:tc>
        <w:tc>
          <w:tcPr>
            <w:tcW w:w="719" w:type="dxa"/>
            <w:tcBorders>
              <w:top w:val="single" w:sz="4" w:space="0" w:color="000000"/>
              <w:left w:val="single" w:sz="4" w:space="0" w:color="000000"/>
              <w:bottom w:val="single" w:sz="4" w:space="0" w:color="000000"/>
              <w:right w:val="single" w:sz="4" w:space="0" w:color="000000"/>
            </w:tcBorders>
          </w:tcPr>
          <w:p w14:paraId="63C21943" w14:textId="77777777" w:rsidR="00406B58" w:rsidRDefault="00000000">
            <w:pPr>
              <w:spacing w:after="0" w:line="259" w:lineRule="auto"/>
              <w:ind w:left="2" w:right="0" w:firstLine="0"/>
              <w:jc w:val="left"/>
            </w:pPr>
            <w:r>
              <w:rPr>
                <w:color w:val="000000"/>
              </w:rPr>
              <w:t xml:space="preserve">503 </w:t>
            </w:r>
          </w:p>
        </w:tc>
        <w:tc>
          <w:tcPr>
            <w:tcW w:w="1613" w:type="dxa"/>
            <w:vMerge w:val="restart"/>
            <w:tcBorders>
              <w:top w:val="single" w:sz="4" w:space="0" w:color="000000"/>
              <w:left w:val="single" w:sz="4" w:space="0" w:color="000000"/>
              <w:bottom w:val="single" w:sz="4" w:space="0" w:color="000000"/>
              <w:right w:val="single" w:sz="4" w:space="0" w:color="000000"/>
            </w:tcBorders>
          </w:tcPr>
          <w:p w14:paraId="28501B0C" w14:textId="77777777" w:rsidR="00406B58" w:rsidRDefault="00000000">
            <w:pPr>
              <w:spacing w:after="0" w:line="259" w:lineRule="auto"/>
              <w:ind w:left="2" w:right="0" w:firstLine="0"/>
              <w:jc w:val="left"/>
            </w:pPr>
            <w:r>
              <w:rPr>
                <w:color w:val="000000"/>
              </w:rPr>
              <w:t xml:space="preserve">22.116 </w:t>
            </w:r>
          </w:p>
        </w:tc>
        <w:tc>
          <w:tcPr>
            <w:tcW w:w="1618" w:type="dxa"/>
            <w:vMerge w:val="restart"/>
            <w:tcBorders>
              <w:top w:val="single" w:sz="4" w:space="0" w:color="000000"/>
              <w:left w:val="single" w:sz="4" w:space="0" w:color="000000"/>
              <w:bottom w:val="single" w:sz="4" w:space="0" w:color="000000"/>
              <w:right w:val="single" w:sz="4" w:space="0" w:color="000000"/>
            </w:tcBorders>
          </w:tcPr>
          <w:p w14:paraId="242A70EE" w14:textId="77777777" w:rsidR="00406B58" w:rsidRDefault="00000000">
            <w:pPr>
              <w:spacing w:after="0" w:line="259" w:lineRule="auto"/>
              <w:ind w:left="2" w:right="0" w:firstLine="0"/>
              <w:jc w:val="left"/>
            </w:pPr>
            <w:r>
              <w:rPr>
                <w:color w:val="000000"/>
              </w:rPr>
              <w:t xml:space="preserve">9.488 </w:t>
            </w:r>
          </w:p>
        </w:tc>
        <w:tc>
          <w:tcPr>
            <w:tcW w:w="630" w:type="dxa"/>
            <w:vMerge w:val="restart"/>
            <w:tcBorders>
              <w:top w:val="single" w:sz="4" w:space="0" w:color="000000"/>
              <w:left w:val="single" w:sz="4" w:space="0" w:color="000000"/>
              <w:bottom w:val="single" w:sz="4" w:space="0" w:color="000000"/>
              <w:right w:val="single" w:sz="4" w:space="0" w:color="000000"/>
            </w:tcBorders>
          </w:tcPr>
          <w:p w14:paraId="0B3B1E93" w14:textId="77777777" w:rsidR="00406B58" w:rsidRDefault="00000000">
            <w:pPr>
              <w:spacing w:after="0" w:line="259" w:lineRule="auto"/>
              <w:ind w:left="2" w:right="0" w:firstLine="0"/>
              <w:jc w:val="left"/>
            </w:pPr>
            <w:r>
              <w:rPr>
                <w:color w:val="000000"/>
              </w:rPr>
              <w:t xml:space="preserve">4 </w:t>
            </w:r>
          </w:p>
        </w:tc>
        <w:tc>
          <w:tcPr>
            <w:tcW w:w="1707" w:type="dxa"/>
            <w:vMerge w:val="restart"/>
            <w:tcBorders>
              <w:top w:val="single" w:sz="4" w:space="0" w:color="000000"/>
              <w:left w:val="single" w:sz="4" w:space="0" w:color="000000"/>
              <w:bottom w:val="single" w:sz="4" w:space="0" w:color="000000"/>
              <w:right w:val="single" w:sz="4" w:space="0" w:color="000000"/>
            </w:tcBorders>
          </w:tcPr>
          <w:p w14:paraId="7610A525" w14:textId="77777777" w:rsidR="00406B58" w:rsidRDefault="00000000">
            <w:pPr>
              <w:spacing w:after="0" w:line="259" w:lineRule="auto"/>
              <w:ind w:left="0" w:right="0" w:firstLine="0"/>
              <w:jc w:val="left"/>
            </w:pPr>
            <w:r>
              <w:rPr>
                <w:color w:val="000000"/>
              </w:rPr>
              <w:t xml:space="preserve">The hypothesis rejected </w:t>
            </w:r>
          </w:p>
        </w:tc>
      </w:tr>
      <w:tr w:rsidR="00406B58" w14:paraId="13A0F778" w14:textId="77777777">
        <w:trPr>
          <w:trHeight w:val="285"/>
        </w:trPr>
        <w:tc>
          <w:tcPr>
            <w:tcW w:w="1438" w:type="dxa"/>
            <w:tcBorders>
              <w:top w:val="single" w:sz="4" w:space="0" w:color="000000"/>
              <w:left w:val="single" w:sz="4" w:space="0" w:color="000000"/>
              <w:bottom w:val="single" w:sz="4" w:space="0" w:color="000000"/>
              <w:right w:val="single" w:sz="4" w:space="0" w:color="000000"/>
            </w:tcBorders>
          </w:tcPr>
          <w:p w14:paraId="4A358E60" w14:textId="77777777" w:rsidR="00406B58" w:rsidRDefault="00000000">
            <w:pPr>
              <w:spacing w:after="0" w:line="259" w:lineRule="auto"/>
              <w:ind w:left="2" w:right="0" w:firstLine="0"/>
              <w:jc w:val="left"/>
            </w:pPr>
            <w:r>
              <w:rPr>
                <w:color w:val="000000"/>
              </w:rPr>
              <w:t xml:space="preserve">Disagree </w:t>
            </w:r>
          </w:p>
        </w:tc>
        <w:tc>
          <w:tcPr>
            <w:tcW w:w="719" w:type="dxa"/>
            <w:tcBorders>
              <w:top w:val="single" w:sz="4" w:space="0" w:color="000000"/>
              <w:left w:val="single" w:sz="4" w:space="0" w:color="000000"/>
              <w:bottom w:val="single" w:sz="4" w:space="0" w:color="000000"/>
              <w:right w:val="single" w:sz="4" w:space="0" w:color="000000"/>
            </w:tcBorders>
          </w:tcPr>
          <w:p w14:paraId="03A3E381" w14:textId="77777777" w:rsidR="00406B58" w:rsidRDefault="00000000">
            <w:pPr>
              <w:spacing w:after="0" w:line="259" w:lineRule="auto"/>
              <w:ind w:left="2" w:right="0" w:firstLine="0"/>
              <w:jc w:val="left"/>
            </w:pPr>
            <w:r>
              <w:rPr>
                <w:color w:val="000000"/>
              </w:rPr>
              <w:t xml:space="preserve">247 </w:t>
            </w:r>
          </w:p>
        </w:tc>
        <w:tc>
          <w:tcPr>
            <w:tcW w:w="0" w:type="auto"/>
            <w:vMerge/>
            <w:tcBorders>
              <w:top w:val="nil"/>
              <w:left w:val="single" w:sz="4" w:space="0" w:color="000000"/>
              <w:bottom w:val="single" w:sz="4" w:space="0" w:color="000000"/>
              <w:right w:val="single" w:sz="4" w:space="0" w:color="000000"/>
            </w:tcBorders>
          </w:tcPr>
          <w:p w14:paraId="415B6B2F"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B2BC110"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9A7E99" w14:textId="77777777" w:rsidR="00406B58" w:rsidRDefault="00406B5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F769C2" w14:textId="77777777" w:rsidR="00406B58" w:rsidRDefault="00406B58">
            <w:pPr>
              <w:spacing w:after="160" w:line="259" w:lineRule="auto"/>
              <w:ind w:left="0" w:right="0" w:firstLine="0"/>
              <w:jc w:val="left"/>
            </w:pPr>
          </w:p>
        </w:tc>
      </w:tr>
    </w:tbl>
    <w:p w14:paraId="21426EB8" w14:textId="77777777" w:rsidR="00406B58" w:rsidRDefault="00000000">
      <w:pPr>
        <w:spacing w:after="89" w:line="259" w:lineRule="auto"/>
        <w:ind w:left="517" w:right="0" w:firstLine="0"/>
        <w:jc w:val="left"/>
      </w:pPr>
      <w:r>
        <w:rPr>
          <w:rFonts w:ascii="Calibri" w:eastAsia="Calibri" w:hAnsi="Calibri" w:cs="Calibri"/>
          <w:color w:val="000000"/>
          <w:sz w:val="22"/>
        </w:rPr>
        <w:t xml:space="preserve"> </w:t>
      </w:r>
    </w:p>
    <w:p w14:paraId="0C9E3E32" w14:textId="77777777" w:rsidR="00406B58" w:rsidRDefault="00000000">
      <w:pPr>
        <w:spacing w:after="278"/>
        <w:ind w:left="-1" w:right="7"/>
      </w:pPr>
      <w:r>
        <w:t>From the contingency Table Analysis above, the result shows the chi-square calculated value, which is 22.116, is greater than the chi-square table value of 9.488 at 4 degree of freedom and 0.05 level of significance, we rejected the hypothesis. This result therefore reveals that there is a significant relationship between sexually transmitted diseases and negative effects on the academic performance of students with physical and health impairment. This is in line with the suggestion of Aral and others 2006 that if left untreated, common STIs may cause complications, including pelvic inflammatory disease, ectopic pregnancy, postpartum endometriosis, infertility, and chronic abdominal pain in women; adverse pregnancy outcomes, including abortion, intrauterine death, and premature delivery; neonatal and infant infections and blindness; urethral strictures and epididymitis in men; genital malignancies; proctitis, colitis, and enteritis in MSM; arthritis secondary to gonorrhoea and chlamydia; liver failure and liver cancer secondary to hepatitis B virus (HBV); myelopathy and lymphoma or leukaemia due to human T-cell lymphotropic virus type 1; and central nervous system disease or meningoencephalitis secondary to syphilis or herpes simplex virus (HSV) infection.</w:t>
      </w:r>
    </w:p>
    <w:p w14:paraId="2DC4C43B" w14:textId="77777777" w:rsidR="00406B58" w:rsidRDefault="00000000">
      <w:pPr>
        <w:pStyle w:val="Heading2"/>
        <w:ind w:left="3" w:right="1"/>
      </w:pPr>
      <w:r>
        <w:t>Discussion of Result</w:t>
      </w:r>
    </w:p>
    <w:p w14:paraId="70A8CA85" w14:textId="77777777" w:rsidR="00406B58" w:rsidRDefault="00000000">
      <w:pPr>
        <w:spacing w:after="278"/>
        <w:ind w:left="-1" w:right="7"/>
      </w:pPr>
      <w:r>
        <w:t xml:space="preserve">This study examined the impact of physical and health impairments on academic performance on the knowledge and awareness of sexually transmitted diseases among students with physical and health impairments. There were 20 questions on the questionnaire, and 150 students were sampled. Their responses indicated that the majority of pupils are knowledgeable about sexually transmitted diseases. Moreover, they are aware that unprotected sexual activity can result in the transmission of sexually transmitted diseases. In addition, the majority of respondents are aware that discharge from the genital area is a common symptom of sexually transmitted diseases.  </w:t>
      </w:r>
    </w:p>
    <w:p w14:paraId="166E4E46" w14:textId="77777777" w:rsidR="00406B58" w:rsidRDefault="00000000">
      <w:pPr>
        <w:spacing w:after="278"/>
        <w:ind w:left="-1" w:right="7"/>
      </w:pPr>
      <w:r>
        <w:t xml:space="preserve">However, the majority of respondents disagreed that sharing a plate with an infected person can cause sexually transmitted diseases. It has been confirmed that these respondents' knowledge and awareness of sexually transmitted diseases have altered their attitudes towards unrestricted sexual activity. As a result of learning about sexually transmitted diseases in class, these respondents' knowledge and awareness have grown. Additionally, the majority of respondents have been exposed to the use of medications to prevent sexually transmitted diseases. The majority of their knowledge on these topics comes from media channels such as radio, television, and the Internet. </w:t>
      </w:r>
    </w:p>
    <w:p w14:paraId="20BD93F2" w14:textId="77777777" w:rsidR="00406B58" w:rsidRDefault="00000000">
      <w:pPr>
        <w:spacing w:after="278"/>
        <w:ind w:left="-1" w:right="7"/>
      </w:pPr>
      <w:r>
        <w:t xml:space="preserve">Additionally, those who have contracted an STD are stigmatized by their peers. These pupils engage in sexual activity because they do not wish to experience failure. As a result, they favour engaging in sexual activity with their instructors in order to receive high grades. The majority of these respondents are aware of the various varieties of STDs. However, they prefer to use condoms instead of abandoning sexual activity in order to avoid contracting STDs. They are also aware of the negative effects of STDs, such as skin damage, HIV transmission, infertility, and other fatal diseases, yet they continue to engage in sexual activity. It was also discovered that these students are aware that engaging in sexual intercourse can negatively impact their academic performance due to classroom distractions and that contracting an STD can destroy their academic career due to health and emotional issues. These findings are consistent with David, Catherine, Julie, Elizabeth, Katherine, Lorretha, and Michael's (2016) assertion that young people are particularly vulnerable due to their prime sexual activity and extensive international travel. </w:t>
      </w:r>
    </w:p>
    <w:p w14:paraId="23E16D74" w14:textId="77777777" w:rsidR="00406B58" w:rsidRDefault="00000000">
      <w:pPr>
        <w:spacing w:after="278"/>
        <w:ind w:left="-1" w:right="7"/>
      </w:pPr>
      <w:r>
        <w:t>Being more religious and less influenced by the West, the elder generation is less likely to contract an STD. In the majority of nations, the prevention and control of Sexually Transmitted Diseases, particularly among young people, is a low priority. Lack of awareness of the problem of Sexually Transmitted Diseases and their complications, competition for resources to control other significant health problems, and the reluctance of public health policymakers to address sexually transmitted diseases have all contributed to this neglect. Similarly, until recently, the majority of programmes for the prevention of Sexually Transmitted Diseases focussed on the prevention of complications (secondary prevention).</w:t>
      </w:r>
    </w:p>
    <w:p w14:paraId="1A30BA02" w14:textId="77777777" w:rsidR="00406B58" w:rsidRDefault="00000000">
      <w:pPr>
        <w:pStyle w:val="Heading2"/>
        <w:ind w:left="3" w:right="1"/>
      </w:pPr>
      <w:r>
        <w:t>Conclusion</w:t>
      </w:r>
    </w:p>
    <w:p w14:paraId="5A5CA169" w14:textId="77777777" w:rsidR="00406B58" w:rsidRDefault="00000000">
      <w:pPr>
        <w:spacing w:after="278"/>
        <w:ind w:left="-1" w:right="7"/>
      </w:pPr>
      <w:r>
        <w:t>In this study, the focus revolves around exploring the knowledge and awareness of sexually transmitted diseases (STDs) among students with physical and health impairments in selected secondary schools. The research methodology employed the use of questionnaires to gather responses from the sampled students, thereby capturing their perspectives and insights. Additionally, scholarly literature was extensively reviewed to incorporate expert opinions and scholarly viewpoints on the topic of knowledge and awareness of STDs among students with physical and health impairments. By combining both primary data from the questionnaire and insights from existing scholarly works, this study aims to provide a comprehensive understanding of the subject matter, shedding light on potential gaps and contributing to the existing body of knowledge on this important issue.</w:t>
      </w:r>
    </w:p>
    <w:p w14:paraId="2EA92C50" w14:textId="77777777" w:rsidR="00406B58" w:rsidRDefault="00000000">
      <w:pPr>
        <w:pStyle w:val="Heading2"/>
        <w:ind w:left="3" w:right="1"/>
      </w:pPr>
      <w:r>
        <w:t>Recommendations</w:t>
      </w:r>
    </w:p>
    <w:p w14:paraId="2B15B382" w14:textId="77777777" w:rsidR="00406B58" w:rsidRDefault="00000000">
      <w:pPr>
        <w:ind w:left="-1" w:right="7"/>
      </w:pPr>
      <w:r>
        <w:t>Based on the findings of this study, the researcher recommended adopting the research on Knowledge and Awareness of Sexually Transmitted Diseases Among Students with Physical and Health Impairments and Their Academic Performance to improve the standard of education for individuals with physical impairments. This is because a body with sound health can learn and understand better.</w:t>
      </w:r>
    </w:p>
    <w:p w14:paraId="7A944FC6" w14:textId="77777777" w:rsidR="00406B58" w:rsidRDefault="00000000">
      <w:pPr>
        <w:ind w:left="-1" w:right="7"/>
      </w:pPr>
      <w:r>
        <w:t>Also, the Federal government should support persons with physical and health impairments by creating awareness on Knowledge and Awareness on sexually transmitted diseases among students with physical and health impairments. This will prove to the world that persons with physical and health impairments are also useful for the development of the nation.</w:t>
      </w:r>
    </w:p>
    <w:p w14:paraId="26C55F0F" w14:textId="77777777" w:rsidR="00406B58" w:rsidRDefault="00000000">
      <w:pPr>
        <w:ind w:left="-1" w:right="7"/>
      </w:pPr>
      <w:r>
        <w:t>Parents should take greater responsibility and spend more time with their children, teaching morals in order to discourage them from getting the wrong source.</w:t>
      </w:r>
    </w:p>
    <w:p w14:paraId="7CDC8D4D" w14:textId="77777777" w:rsidR="00406B58" w:rsidRDefault="00000000">
      <w:pPr>
        <w:ind w:left="-1" w:right="7"/>
      </w:pPr>
      <w:r>
        <w:t>Schools should sensitize students to Sexually Transmitted Diseases to promote healthy living among adolescents.</w:t>
      </w:r>
    </w:p>
    <w:p w14:paraId="3425AE6C" w14:textId="77777777" w:rsidR="00406B58" w:rsidRDefault="00000000">
      <w:pPr>
        <w:spacing w:after="554"/>
        <w:ind w:left="-1" w:right="7"/>
      </w:pPr>
      <w:r>
        <w:t>Students at all levels of education should be given adequate information on the knowledge, attitude and awareness of sexually transmitted diseases among students with physical and health impairments to promote healthy relationships among male and female students.</w:t>
      </w:r>
    </w:p>
    <w:p w14:paraId="24A12AFF" w14:textId="77777777" w:rsidR="00406B58" w:rsidRDefault="00000000">
      <w:pPr>
        <w:pStyle w:val="Heading2"/>
        <w:spacing w:after="90"/>
        <w:ind w:left="3" w:right="1"/>
      </w:pPr>
      <w:r>
        <w:t>References</w:t>
      </w:r>
    </w:p>
    <w:p w14:paraId="55FB303C" w14:textId="77777777" w:rsidR="00406B58" w:rsidRDefault="00000000">
      <w:pPr>
        <w:ind w:left="713" w:right="7" w:hanging="720"/>
      </w:pPr>
      <w:r>
        <w:t xml:space="preserve">Adedini, A., Stella B., Charity, I., Olukunle O., Akinsewa A., &amp; Mojisola O. (2018). Role of religious leaders in promoting contraceptive use in Nigeria: Evidence from the Nigerian urban reproductive health initiative, </w:t>
      </w:r>
      <w:r>
        <w:rPr>
          <w:i/>
        </w:rPr>
        <w:t>Global Health: Science and Practice</w:t>
      </w:r>
      <w:r>
        <w:t>, 6 (3) 500-514.</w:t>
      </w:r>
    </w:p>
    <w:p w14:paraId="20763F19" w14:textId="77777777" w:rsidR="00406B58" w:rsidRDefault="00000000">
      <w:pPr>
        <w:ind w:left="713" w:right="7" w:hanging="720"/>
      </w:pPr>
      <w:r>
        <w:t xml:space="preserve">Ademola, A., Philomena, O., &amp; Elizabeth, E. (2014). Male involvement in family planning: challenges and way forward, </w:t>
      </w:r>
      <w:r>
        <w:rPr>
          <w:i/>
        </w:rPr>
        <w:t>International Journal of Population Research</w:t>
      </w:r>
      <w:r>
        <w:t>, 14 (1). https://doi.org/10.1155/2014/416457</w:t>
      </w:r>
    </w:p>
    <w:p w14:paraId="735F58A1" w14:textId="77777777" w:rsidR="00406B58" w:rsidRDefault="00000000">
      <w:pPr>
        <w:ind w:left="713" w:right="7" w:hanging="720"/>
      </w:pPr>
      <w:r>
        <w:t xml:space="preserve">Ajayi, A.I., Adeniyi, O.V. &amp; Akpan, W. (2018). Use of traditional and modern contraceptives among childbearing women: findings from a mixed methods study in two southwestern Nigerian states. </w:t>
      </w:r>
      <w:r>
        <w:rPr>
          <w:i/>
        </w:rPr>
        <w:t>BMC Public Health</w:t>
      </w:r>
      <w:r>
        <w:t xml:space="preserve"> </w:t>
      </w:r>
      <w:r>
        <w:rPr>
          <w:b/>
        </w:rPr>
        <w:t xml:space="preserve">18, </w:t>
      </w:r>
      <w:r>
        <w:t xml:space="preserve">604, </w:t>
      </w:r>
    </w:p>
    <w:p w14:paraId="2BD7FB52" w14:textId="77777777" w:rsidR="00406B58" w:rsidRDefault="00000000">
      <w:pPr>
        <w:ind w:left="713" w:right="7" w:hanging="720"/>
      </w:pPr>
      <w:r>
        <w:t xml:space="preserve">Akani, C. Enyindah, C. &amp; Babatunde, S. (2008). Emergency contraception: Knowledge and perception of female undergraduates in the Niger Delta of Nigeria. </w:t>
      </w:r>
      <w:r>
        <w:rPr>
          <w:i/>
        </w:rPr>
        <w:t xml:space="preserve">Ghana Medical Journal. </w:t>
      </w:r>
      <w:r>
        <w:t xml:space="preserve"> 42, 68–70.</w:t>
      </w:r>
    </w:p>
    <w:p w14:paraId="17D142BF" w14:textId="77777777" w:rsidR="00406B58" w:rsidRDefault="00000000">
      <w:pPr>
        <w:ind w:left="713" w:right="7" w:hanging="720"/>
      </w:pPr>
      <w:r>
        <w:t>Ann-Zofie, S., &amp; Maria S. (2020). Who makes the decision to have children? Couples' childbearing intentions and actual childbearing. Advances in Life Course Research 43 (1)</w:t>
      </w:r>
    </w:p>
    <w:p w14:paraId="51FA5794" w14:textId="77777777" w:rsidR="00406B58" w:rsidRDefault="00000000">
      <w:pPr>
        <w:ind w:left="713" w:right="7" w:hanging="720"/>
      </w:pPr>
      <w:r>
        <w:t xml:space="preserve">Anwar, M., Sulaiman, S. A., Ahmadi, K &amp; Khan, T. M. (2010). Awareness of school students on sexually transmitted infections (STIs) and their sexual behavior: A cross-sectional study conducted in Pulau Pinang, Malaysia. </w:t>
      </w:r>
      <w:r>
        <w:rPr>
          <w:i/>
        </w:rPr>
        <w:t>BMC Public Health</w:t>
      </w:r>
      <w:r>
        <w:t xml:space="preserve">, 2010, 10:47. </w:t>
      </w:r>
    </w:p>
    <w:p w14:paraId="0BFE9978" w14:textId="77777777" w:rsidR="00406B58" w:rsidRDefault="00000000">
      <w:pPr>
        <w:spacing w:after="73"/>
        <w:ind w:left="713" w:right="7" w:hanging="720"/>
      </w:pPr>
      <w:r>
        <w:t xml:space="preserve">Aragão, J. D. S. (2016). Vulnerability associated with sexually transmitted infections in physically disabled people. </w:t>
      </w:r>
      <w:r>
        <w:rPr>
          <w:i/>
        </w:rPr>
        <w:t>Ciencia &amp; Saude Coletiva</w:t>
      </w:r>
      <w:r>
        <w:t xml:space="preserve">, 21(10), 3143–3152.Ashley, C. (2019). </w:t>
      </w:r>
      <w:r>
        <w:rPr>
          <w:i/>
        </w:rPr>
        <w:t>The importance customs in society</w:t>
      </w:r>
      <w:r>
        <w:t xml:space="preserve"> https://www.thoughtco.com/custom-definition-3026171</w:t>
      </w:r>
    </w:p>
    <w:p w14:paraId="415235C2" w14:textId="77777777" w:rsidR="00406B58" w:rsidRDefault="00000000">
      <w:pPr>
        <w:ind w:left="713" w:right="7" w:hanging="720"/>
      </w:pPr>
      <w:r>
        <w:t xml:space="preserve">Chao, W. &amp; Huimin, C. (2019). Persisting regional disparities in modern contraceptive use and unmet need for contraception among Nigerian women, </w:t>
      </w:r>
      <w:r>
        <w:rPr>
          <w:i/>
        </w:rPr>
        <w:t>BioMed Research International</w:t>
      </w:r>
      <w:r>
        <w:t xml:space="preserve">, vol. 2019, Article ID 9103928, </w:t>
      </w:r>
    </w:p>
    <w:p w14:paraId="09E530EA" w14:textId="77777777" w:rsidR="00406B58" w:rsidRDefault="00000000">
      <w:pPr>
        <w:ind w:left="713" w:right="7" w:hanging="720"/>
      </w:pPr>
      <w:r>
        <w:t xml:space="preserve">Clark, W. &amp; Susan, C. (2014). Till death do us part? The risk of first and second marriage dissolution. [PDF] </w:t>
      </w:r>
      <w:r>
        <w:rPr>
          <w:i/>
        </w:rPr>
        <w:t xml:space="preserve">Canadian Social Trends. </w:t>
      </w:r>
      <w:r>
        <w:t>Statistics Canada Catalogue No. 11-008. http://www.statcan.gc.ca/pub/11-008 x/2006001/pdf/9198eng.pdf.</w:t>
      </w:r>
    </w:p>
    <w:p w14:paraId="389247E4" w14:textId="77777777" w:rsidR="00406B58" w:rsidRDefault="00000000">
      <w:pPr>
        <w:ind w:left="713" w:right="7" w:hanging="720"/>
      </w:pPr>
      <w:r>
        <w:t>Counselling for Maternal and Newborn Health Care (2013). A Handbook for Building Skills. Geneva: World Health Organization. Available from: https://www.ncbi. nlm.nih.gov/books/NBK304183/</w:t>
      </w:r>
    </w:p>
    <w:p w14:paraId="5EDCC939" w14:textId="77777777" w:rsidR="00406B58" w:rsidRDefault="00000000">
      <w:pPr>
        <w:ind w:left="713" w:right="7" w:hanging="720"/>
      </w:pPr>
      <w:r>
        <w:t xml:space="preserve">Ekundayo, F. (2002). Family planning in rural Nigeria: a study among men. </w:t>
      </w:r>
      <w:r>
        <w:rPr>
          <w:i/>
        </w:rPr>
        <w:t xml:space="preserve">Afr J Med Sci, </w:t>
      </w:r>
      <w:r>
        <w:t>31(2):159-62</w:t>
      </w:r>
    </w:p>
    <w:p w14:paraId="57206FEA" w14:textId="77777777" w:rsidR="00406B58" w:rsidRDefault="00000000">
      <w:pPr>
        <w:ind w:left="713" w:right="7" w:hanging="720"/>
      </w:pPr>
      <w:r>
        <w:t xml:space="preserve">Fletcher, J. (2013). Positive parenting, not physical punishment. </w:t>
      </w:r>
      <w:r>
        <w:rPr>
          <w:i/>
        </w:rPr>
        <w:t>Canadian Medical Association Journal,</w:t>
      </w:r>
      <w:r>
        <w:t xml:space="preserve"> 12 (1) 12-24.</w:t>
      </w:r>
    </w:p>
    <w:p w14:paraId="1272468B" w14:textId="77777777" w:rsidR="00406B58" w:rsidRDefault="00000000">
      <w:pPr>
        <w:ind w:left="713" w:right="7" w:hanging="720"/>
      </w:pPr>
      <w:r>
        <w:t xml:space="preserve">Fox K. (2001). The impact of side effects on family planning use among female clients of the public health services in Jamaica. </w:t>
      </w:r>
      <w:r>
        <w:rPr>
          <w:i/>
        </w:rPr>
        <w:t>West Indian Medical Journal</w:t>
      </w:r>
      <w:r>
        <w:t>. 50(3):209-13. PMID: 11769025.</w:t>
      </w:r>
    </w:p>
    <w:p w14:paraId="4508F081" w14:textId="77777777" w:rsidR="00406B58" w:rsidRDefault="00000000">
      <w:pPr>
        <w:ind w:left="713" w:right="7" w:hanging="720"/>
      </w:pPr>
      <w:r>
        <w:t xml:space="preserve">Khan, M. E., &amp; Patel, B.C. (2005). </w:t>
      </w:r>
      <w:r>
        <w:rPr>
          <w:i/>
        </w:rPr>
        <w:t>Male involvement in family planning: A KAPB study of Agra District</w:t>
      </w:r>
      <w:r>
        <w:t xml:space="preserve">. The Population Council, India. </w:t>
      </w:r>
    </w:p>
    <w:p w14:paraId="02FF4C93" w14:textId="77777777" w:rsidR="00406B58" w:rsidRDefault="00000000">
      <w:pPr>
        <w:spacing w:after="85" w:line="259" w:lineRule="auto"/>
        <w:ind w:left="726" w:right="0" w:hanging="720"/>
        <w:jc w:val="left"/>
      </w:pPr>
      <w:r>
        <w:t xml:space="preserve">Health Policy Initiatives (2007). </w:t>
      </w:r>
      <w:r>
        <w:rPr>
          <w:i/>
        </w:rPr>
        <w:t>Inequalities in the use of family planning and reproductive health services: Implications for policies and program</w:t>
      </w:r>
      <w:r>
        <w:t>s. Washington DC.</w:t>
      </w:r>
    </w:p>
    <w:p w14:paraId="1729505D" w14:textId="77777777" w:rsidR="00406B58" w:rsidRDefault="00000000">
      <w:pPr>
        <w:ind w:left="713" w:right="7" w:hanging="720"/>
      </w:pPr>
      <w:r>
        <w:t>Howard-Grabman L, &amp; Snetro G. (2013</w:t>
      </w:r>
      <w:r>
        <w:rPr>
          <w:i/>
        </w:rPr>
        <w:t>). How to mobilize communities for health and social chan</w:t>
      </w:r>
      <w:r>
        <w:t xml:space="preserve">ge. Health Communication Partnership, from </w:t>
      </w:r>
      <w:r>
        <w:rPr>
          <w:color w:val="2E5395"/>
        </w:rPr>
        <w:t>http://www.jhuccp.org/hcp/ pubs/tools/HowtoMobilize/ind ex.html</w:t>
      </w:r>
      <w:r>
        <w:t>.</w:t>
      </w:r>
    </w:p>
    <w:p w14:paraId="26FCB2AA" w14:textId="77777777" w:rsidR="00406B58" w:rsidRDefault="00000000">
      <w:pPr>
        <w:ind w:left="713" w:right="7" w:hanging="720"/>
      </w:pPr>
      <w:r>
        <w:t xml:space="preserve">Hoyle, M. (2014). </w:t>
      </w:r>
      <w:r>
        <w:rPr>
          <w:i/>
        </w:rPr>
        <w:t>Factors affecting academic performance of undergraduate students at Uganda Christian University</w:t>
      </w:r>
      <w:r>
        <w:t>. A dissertation submitted to graduate school in partial fulfillment of the requirements for the award of the degree of master of Arts in educational management of Makerere University.</w:t>
      </w:r>
    </w:p>
    <w:p w14:paraId="475EFB0D" w14:textId="77777777" w:rsidR="00406B58" w:rsidRDefault="00000000">
      <w:pPr>
        <w:ind w:left="713" w:right="7" w:hanging="720"/>
      </w:pPr>
      <w:r>
        <w:t xml:space="preserve">Individuals With Disabilities Education Act (IDEA, 2004). Physical and other health impairments. Retrieved from https://disabilities-informational resources. weebly.com/physical-and-other-health-impairments.html </w:t>
      </w:r>
    </w:p>
    <w:p w14:paraId="21D1ECA7" w14:textId="77777777" w:rsidR="00406B58" w:rsidRDefault="00000000">
      <w:pPr>
        <w:spacing w:after="0"/>
        <w:ind w:left="713" w:right="7" w:hanging="720"/>
      </w:pPr>
      <w:r>
        <w:t>Kabagenyi, A., Jennings, L., &amp; Reid (2014)</w:t>
      </w:r>
      <w:r>
        <w:rPr>
          <w:i/>
        </w:rPr>
        <w:t>.</w:t>
      </w:r>
      <w:r>
        <w:t xml:space="preserve"> Barriers to male involvement in contraceptive uptake and reproductive health services: a qualitative study of men and women's perceptions in two rural districts in Uganda. </w:t>
      </w:r>
      <w:r>
        <w:rPr>
          <w:i/>
        </w:rPr>
        <w:t>Reproductive Health</w:t>
      </w:r>
      <w:r>
        <w:t xml:space="preserve"> 11</w:t>
      </w:r>
      <w:r>
        <w:rPr>
          <w:b/>
        </w:rPr>
        <w:t xml:space="preserve"> (</w:t>
      </w:r>
      <w:r>
        <w:t xml:space="preserve">21). </w:t>
      </w:r>
    </w:p>
    <w:p w14:paraId="0D708EB9" w14:textId="77777777" w:rsidR="00406B58" w:rsidRDefault="00000000">
      <w:pPr>
        <w:spacing w:after="109" w:line="232" w:lineRule="auto"/>
        <w:ind w:left="720" w:right="0" w:hanging="10"/>
        <w:jc w:val="left"/>
      </w:pPr>
      <w:hyperlink r:id="rId7">
        <w:r>
          <w:rPr>
            <w:color w:val="0000C3"/>
            <w:u w:val="single" w:color="0000C3"/>
          </w:rPr>
          <w:t>https://doi.org/10.1186/1742-4755-11-21</w:t>
        </w:r>
      </w:hyperlink>
    </w:p>
    <w:p w14:paraId="322010B2" w14:textId="77777777" w:rsidR="00406B58" w:rsidRDefault="00000000">
      <w:pPr>
        <w:spacing w:after="23"/>
        <w:ind w:left="-1" w:right="7"/>
      </w:pPr>
      <w:r>
        <w:t xml:space="preserve">Kulkarni, M. S. (2005) Women's exposure to mass media and use of FP methods. </w:t>
      </w:r>
    </w:p>
    <w:p w14:paraId="132D4D11" w14:textId="77777777" w:rsidR="00406B58" w:rsidRDefault="00000000">
      <w:pPr>
        <w:ind w:left="731" w:right="7"/>
      </w:pPr>
      <w:r>
        <w:t>http://www.indmedica.com/journals.php?journalid=7&amp;issueid= 28&amp;articleid =308&amp;action.</w:t>
      </w:r>
    </w:p>
    <w:p w14:paraId="4BF234D4" w14:textId="77777777" w:rsidR="00406B58" w:rsidRDefault="00000000">
      <w:pPr>
        <w:spacing w:after="0"/>
        <w:ind w:left="713" w:right="7" w:hanging="720"/>
      </w:pPr>
      <w:r>
        <w:t>Kumar, A., Jain, A. K. &amp; Ram</w:t>
      </w:r>
      <w:r>
        <w:rPr>
          <w:i/>
        </w:rPr>
        <w:t xml:space="preserve">, </w:t>
      </w:r>
      <w:r>
        <w:t xml:space="preserve">F. (2020). Health workers' outreach and intention to use contraceptives among married women in India. </w:t>
      </w:r>
      <w:r>
        <w:rPr>
          <w:i/>
        </w:rPr>
        <w:t>BMC Public Health</w:t>
      </w:r>
      <w:r>
        <w:t xml:space="preserve"> 20,</w:t>
      </w:r>
      <w:r>
        <w:rPr>
          <w:b/>
        </w:rPr>
        <w:t xml:space="preserve"> </w:t>
      </w:r>
      <w:r>
        <w:t xml:space="preserve">1041. </w:t>
      </w:r>
    </w:p>
    <w:p w14:paraId="25E196F0" w14:textId="77777777" w:rsidR="00406B58" w:rsidRDefault="00000000">
      <w:pPr>
        <w:spacing w:after="109" w:line="232" w:lineRule="auto"/>
        <w:ind w:left="720" w:right="0" w:hanging="10"/>
        <w:jc w:val="left"/>
      </w:pPr>
      <w:hyperlink r:id="rId8">
        <w:r>
          <w:rPr>
            <w:color w:val="0000C3"/>
            <w:u w:val="single" w:color="0000C3"/>
          </w:rPr>
          <w:t>https://doi.org/10.1186/s12889-020-09061-1</w:t>
        </w:r>
      </w:hyperlink>
    </w:p>
    <w:p w14:paraId="5A683A92" w14:textId="77777777" w:rsidR="00406B58" w:rsidRDefault="00000000">
      <w:pPr>
        <w:ind w:left="713" w:right="7" w:hanging="720"/>
      </w:pPr>
      <w:r>
        <w:t>Lwelamira, A., Mnyamagola, B. &amp; Msaki, S. (2012). New focus for family planning programs. Population Reports, Series J, No. 33. Baltimore: Johns Hopkins School of Public Health, Population Information Program</w:t>
      </w:r>
    </w:p>
    <w:p w14:paraId="6B9BD485" w14:textId="77777777" w:rsidR="00406B58" w:rsidRDefault="00000000">
      <w:pPr>
        <w:ind w:left="723" w:right="0" w:hanging="730"/>
        <w:jc w:val="left"/>
      </w:pPr>
      <w:r>
        <w:t xml:space="preserve">Mandell, D. S., Eleey, C. C., Cederbaum, J. A., Noll, E., Hutchinson, M. K., Jemmott, L. S., &amp; Blank, M. B. (2008). Sexually transmitted infection among </w:t>
      </w:r>
      <w:r>
        <w:tab/>
        <w:t xml:space="preserve">adolescents receiving special education services. </w:t>
      </w:r>
      <w:r>
        <w:rPr>
          <w:i/>
        </w:rPr>
        <w:t>The Journal of school health</w:t>
      </w:r>
      <w:r>
        <w:t xml:space="preserve">, </w:t>
      </w:r>
      <w:r>
        <w:rPr>
          <w:i/>
        </w:rPr>
        <w:t>78</w:t>
      </w:r>
      <w:r>
        <w:t xml:space="preserve">(7), 382–388. </w:t>
      </w:r>
    </w:p>
    <w:p w14:paraId="5434D838" w14:textId="77777777" w:rsidR="00406B58" w:rsidRDefault="00000000">
      <w:pPr>
        <w:ind w:left="713" w:right="7" w:hanging="720"/>
      </w:pPr>
      <w:r>
        <w:t xml:space="preserve">Mbizvo, M.T. &amp; Bassett, M.T. (2016). Reproductive health and AIDS prevention in subSaharan Africa: the case for increased male participation. </w:t>
      </w:r>
      <w:r>
        <w:rPr>
          <w:i/>
        </w:rPr>
        <w:t>Health Policy Plan</w:t>
      </w:r>
      <w:r>
        <w:t>. 11(1), 84-92. doi: 10.1093/heapol/11.1.84. PMID: 10155880.</w:t>
      </w:r>
    </w:p>
    <w:p w14:paraId="0A57B763" w14:textId="77777777" w:rsidR="00406B58" w:rsidRDefault="00000000">
      <w:pPr>
        <w:ind w:left="723" w:right="0" w:hanging="730"/>
        <w:jc w:val="left"/>
      </w:pPr>
      <w:r>
        <w:t xml:space="preserve">Mlyakado, B. (2013). School girls' knowledge of, and efforts against risky sexual activity: The needs for sex education in schools. </w:t>
      </w:r>
      <w:r>
        <w:rPr>
          <w:i/>
        </w:rPr>
        <w:t>International Journal of Education</w:t>
      </w:r>
      <w:r>
        <w:t xml:space="preserve"> 5(1); 68-80.</w:t>
      </w:r>
    </w:p>
    <w:p w14:paraId="6222F8AD" w14:textId="77777777" w:rsidR="00406B58" w:rsidRDefault="00000000">
      <w:pPr>
        <w:ind w:left="713" w:right="7" w:hanging="720"/>
      </w:pPr>
      <w:r>
        <w:t xml:space="preserve">Nwugwu, C. (2019). </w:t>
      </w:r>
      <w:r>
        <w:rPr>
          <w:i/>
        </w:rPr>
        <w:t>The importance customs in society</w:t>
      </w:r>
      <w:r>
        <w:t>. https://www.thoughtco.com/ custom-definition-3026171</w:t>
      </w:r>
    </w:p>
    <w:p w14:paraId="72AAE906" w14:textId="77777777" w:rsidR="00406B58" w:rsidRDefault="00000000">
      <w:pPr>
        <w:ind w:left="713" w:right="7" w:hanging="720"/>
      </w:pPr>
      <w:r>
        <w:t xml:space="preserve">Okech T.C., Wawire N.W., Mburu, T.K. (2011). Contraceptive use among women of reproductive age in Kenya's city slums. </w:t>
      </w:r>
      <w:r>
        <w:rPr>
          <w:i/>
        </w:rPr>
        <w:t xml:space="preserve">Int J Bus Soc Sci. </w:t>
      </w:r>
      <w:r>
        <w:t xml:space="preserve">2:22–43. </w:t>
      </w:r>
    </w:p>
    <w:p w14:paraId="21BA85C4" w14:textId="77777777" w:rsidR="00406B58" w:rsidRDefault="00000000">
      <w:pPr>
        <w:spacing w:after="138"/>
        <w:ind w:left="713" w:right="7" w:hanging="720"/>
      </w:pPr>
      <w:r>
        <w:t>Okediran, U. (2012), Influence of Family Background on the Academic Achievement of Senior Secondary School Students in Nsukka Educational Zone of Enugu State, a research project submitted to the department of Educational Foundations, Faculty of Education, University of Nigeria, Nsukka in partial fulfillment of the award of masters degree in Sociology of Education</w:t>
      </w:r>
    </w:p>
    <w:p w14:paraId="0BAA69FA" w14:textId="77777777" w:rsidR="00406B58" w:rsidRDefault="00000000">
      <w:pPr>
        <w:pStyle w:val="Heading2"/>
        <w:spacing w:after="95"/>
        <w:ind w:left="713" w:right="1" w:hanging="720"/>
      </w:pPr>
      <w:r>
        <w:rPr>
          <w:b w:val="0"/>
        </w:rPr>
        <w:t xml:space="preserve">Ololade, G., Kehinde, O. and Sola, S. (2021). </w:t>
      </w:r>
      <w:r>
        <w:t xml:space="preserve">Family size: why some Nigerian men w a n t more children. The Conversation Academic Rigour, Journalistic Flair. </w:t>
      </w:r>
      <w:hyperlink r:id="rId9">
        <w:r>
          <w:rPr>
            <w:b w:val="0"/>
            <w:color w:val="0000C3"/>
            <w:u w:val="single" w:color="0000C3"/>
          </w:rPr>
          <w:t>https://theconversation.com/family-size-why-some-nigerian-men-want-more</w:t>
        </w:r>
      </w:hyperlink>
      <w:r>
        <w:t xml:space="preserve"> children-159692</w:t>
      </w:r>
    </w:p>
    <w:p w14:paraId="23B05105" w14:textId="77777777" w:rsidR="00406B58" w:rsidRDefault="00000000">
      <w:pPr>
        <w:ind w:left="713" w:right="7" w:hanging="720"/>
      </w:pPr>
      <w:r>
        <w:t xml:space="preserve">Omo-Aghoja L, Omo-Aghoja V, Aghoja C. (2009) Factors associated with the knowledge, practice and perceptions of contraception in rural southern Nigeria. </w:t>
      </w:r>
      <w:r>
        <w:rPr>
          <w:i/>
        </w:rPr>
        <w:t xml:space="preserve">Ghana Medical Journal. </w:t>
      </w:r>
      <w:r>
        <w:t xml:space="preserve"> 43:115–121. </w:t>
      </w:r>
    </w:p>
    <w:p w14:paraId="3E21054F" w14:textId="77777777" w:rsidR="00406B58" w:rsidRDefault="00000000">
      <w:pPr>
        <w:ind w:left="713" w:right="7" w:hanging="720"/>
      </w:pPr>
      <w:r>
        <w:t xml:space="preserve">Physicians for Reproductive Health and Choice (2003) </w:t>
      </w:r>
      <w:r>
        <w:rPr>
          <w:i/>
        </w:rPr>
        <w:t>An Overview of Abortion in the United States.</w:t>
      </w:r>
      <w:r>
        <w:t xml:space="preserve"> Stop Forced Abortions Alliance; USA.</w:t>
      </w:r>
    </w:p>
    <w:p w14:paraId="13D56F09" w14:textId="77777777" w:rsidR="00406B58" w:rsidRDefault="00000000">
      <w:pPr>
        <w:ind w:left="713" w:right="7" w:hanging="720"/>
      </w:pPr>
      <w:r>
        <w:t xml:space="preserve">Prata, N. (2009). Making family planning accessible in resource-poor settings. </w:t>
      </w:r>
      <w:r>
        <w:rPr>
          <w:i/>
        </w:rPr>
        <w:t>Philos Trans R Soc Lond Biol Sci.</w:t>
      </w:r>
      <w:r>
        <w:rPr>
          <w:b/>
        </w:rPr>
        <w:t xml:space="preserve"> 3</w:t>
      </w:r>
      <w:r>
        <w:t>(64):3093–9. doi: 10.1098/rstb.2009.0172.</w:t>
      </w:r>
    </w:p>
    <w:p w14:paraId="7E115CBF" w14:textId="77777777" w:rsidR="00406B58" w:rsidRDefault="00000000">
      <w:pPr>
        <w:spacing w:after="84" w:line="259" w:lineRule="auto"/>
        <w:ind w:left="726" w:right="0" w:hanging="720"/>
        <w:jc w:val="left"/>
      </w:pPr>
      <w:r>
        <w:t xml:space="preserve">Public Health Agency of Canada (2010). </w:t>
      </w:r>
      <w:r>
        <w:rPr>
          <w:i/>
        </w:rPr>
        <w:t>Canadian incidence study of reported child abuses and neglect: Major findings.</w:t>
      </w:r>
      <w:r>
        <w:t xml:space="preserve"> </w:t>
      </w:r>
    </w:p>
    <w:p w14:paraId="7B1FF93A" w14:textId="77777777" w:rsidR="00406B58" w:rsidRDefault="00000000">
      <w:pPr>
        <w:ind w:left="713" w:right="7" w:hanging="720"/>
      </w:pPr>
      <w:r>
        <w:t xml:space="preserve">Rabiu, A., &amp; Rufa'i, A. A. (2018). The role of traditional contraceptive methods in family planning among women attending primary health care centers in Kano. </w:t>
      </w:r>
      <w:r>
        <w:rPr>
          <w:i/>
        </w:rPr>
        <w:t>Annals of African medicine</w:t>
      </w:r>
      <w:r>
        <w:t xml:space="preserve">, </w:t>
      </w:r>
      <w:r>
        <w:rPr>
          <w:i/>
        </w:rPr>
        <w:t>17</w:t>
      </w:r>
      <w:r>
        <w:t xml:space="preserve">(4), 189–195. </w:t>
      </w:r>
    </w:p>
    <w:p w14:paraId="14A9315D" w14:textId="77777777" w:rsidR="00406B58" w:rsidRDefault="00000000">
      <w:pPr>
        <w:ind w:left="713" w:right="7" w:hanging="720"/>
      </w:pPr>
      <w:r>
        <w:t xml:space="preserve">Samkange-Zeeb, F. N., Spallek, L., &amp; Zeeb, H. (2011). Awareness and knowledge of sexually transmitted diseases (STDs) among school-going adolescents in Europe: a systematic review of published literature. </w:t>
      </w:r>
      <w:r>
        <w:rPr>
          <w:i/>
        </w:rPr>
        <w:t>BMC public health</w:t>
      </w:r>
      <w:r>
        <w:t xml:space="preserve">, </w:t>
      </w:r>
      <w:r>
        <w:rPr>
          <w:i/>
        </w:rPr>
        <w:t>11</w:t>
      </w:r>
      <w:r>
        <w:t xml:space="preserve">, 727. </w:t>
      </w:r>
    </w:p>
    <w:p w14:paraId="39D78A09" w14:textId="77777777" w:rsidR="00406B58" w:rsidRDefault="00000000">
      <w:pPr>
        <w:ind w:left="713" w:right="7" w:hanging="720"/>
      </w:pPr>
      <w:r>
        <w:t xml:space="preserve">Silverman, J.G., Raj, A., Mucci, L. A. and Hathaway, J. E. (2001). Dating violence against adolescent girls and associated substance abuse, unhealthy weight control, sexual </w:t>
      </w:r>
    </w:p>
    <w:p w14:paraId="1CD75F87" w14:textId="77777777" w:rsidR="00406B58" w:rsidRDefault="00000000">
      <w:pPr>
        <w:ind w:left="734" w:right="7"/>
      </w:pPr>
      <w:r>
        <w:t xml:space="preserve">risk behavior, pregnancy and suicide. </w:t>
      </w:r>
      <w:r>
        <w:rPr>
          <w:i/>
        </w:rPr>
        <w:t>Journal of the American Medical Association,</w:t>
      </w:r>
      <w:r>
        <w:t xml:space="preserve"> 286:572–579.</w:t>
      </w:r>
    </w:p>
    <w:p w14:paraId="0D7872DF" w14:textId="77777777" w:rsidR="00406B58" w:rsidRDefault="00000000">
      <w:pPr>
        <w:ind w:left="713" w:right="7" w:hanging="720"/>
      </w:pPr>
      <w:r>
        <w:t xml:space="preserve">Sonfield, K. Hassted and R.B. Gold (2014). </w:t>
      </w:r>
      <w:r>
        <w:rPr>
          <w:i/>
        </w:rPr>
        <w:t>Moving Forward: Family Planning in the Era of Health Reform</w:t>
      </w:r>
      <w:r>
        <w:t>, New York: Guttmacher Institute.</w:t>
      </w:r>
    </w:p>
    <w:p w14:paraId="60DB8AA9" w14:textId="77777777" w:rsidR="00406B58" w:rsidRDefault="00000000">
      <w:pPr>
        <w:ind w:left="713" w:right="7" w:hanging="720"/>
      </w:pPr>
      <w:r>
        <w:t>Spencer, B. (2008). Male involvement in family planning. IPPF Med Bull. 1988;22,4:2-3. PMID: 12282033.</w:t>
      </w:r>
    </w:p>
    <w:p w14:paraId="61635154" w14:textId="77777777" w:rsidR="00406B58" w:rsidRDefault="00000000">
      <w:pPr>
        <w:ind w:left="713" w:right="7" w:hanging="720"/>
      </w:pPr>
      <w:r>
        <w:t>Starbird E, Norton M, Marcus R. Investing in Family Planning: Key to Achieving the Sustainable Development Goals. Global Health Sci Pract. 2016;4(2):191–210.</w:t>
      </w:r>
    </w:p>
    <w:p w14:paraId="3A33FED9" w14:textId="77777777" w:rsidR="00406B58" w:rsidRDefault="00000000">
      <w:pPr>
        <w:spacing w:after="114" w:line="230" w:lineRule="auto"/>
        <w:ind w:left="1" w:right="-9" w:hanging="10"/>
        <w:jc w:val="center"/>
      </w:pPr>
      <w:r>
        <w:t xml:space="preserve">Timothy F. P. (2010). Addressing the increasing burden of sexually transmitted infections in Rhode Island. </w:t>
      </w:r>
      <w:r>
        <w:rPr>
          <w:i/>
        </w:rPr>
        <w:t>Rhode Island medical journal (2013)</w:t>
      </w:r>
      <w:r>
        <w:t xml:space="preserve">, </w:t>
      </w:r>
      <w:r>
        <w:rPr>
          <w:i/>
        </w:rPr>
        <w:t>98</w:t>
      </w:r>
      <w:r>
        <w:t>(1), 31- 34.</w:t>
      </w:r>
    </w:p>
    <w:p w14:paraId="77C4A3EB" w14:textId="77777777" w:rsidR="00406B58" w:rsidRDefault="00000000">
      <w:pPr>
        <w:ind w:left="713" w:right="7" w:hanging="720"/>
      </w:pPr>
      <w:r>
        <w:t xml:space="preserve">Uddin, M.M., Kabir, M., Choudhury, S.R., Ahmed, T. and Bhuyan, M.R. (2005). Rural-urban differential in contraceptive use status in Bangladesh. </w:t>
      </w:r>
      <w:r>
        <w:rPr>
          <w:i/>
        </w:rPr>
        <w:t>Journal of  Rural Demographic</w:t>
      </w:r>
      <w:r>
        <w:t xml:space="preserve">. 1-20. </w:t>
      </w:r>
    </w:p>
    <w:p w14:paraId="4DD16D73" w14:textId="77777777" w:rsidR="00406B58" w:rsidRDefault="00000000">
      <w:pPr>
        <w:ind w:left="-1" w:right="7"/>
      </w:pPr>
      <w:r>
        <w:t>United Nations (2004). Women's right is human right. United Nations production, New York</w:t>
      </w:r>
    </w:p>
    <w:p w14:paraId="7660B103" w14:textId="77777777" w:rsidR="00406B58" w:rsidRDefault="00000000">
      <w:pPr>
        <w:ind w:left="713" w:right="7" w:hanging="720"/>
      </w:pPr>
      <w:r>
        <w:t>USAID (2007). Achieving Equity for the Poor in Kenya: Understanding Level of Inequities and Barriers to Family Planning Services. Futures Group International; Nairobi</w:t>
      </w:r>
    </w:p>
    <w:p w14:paraId="7673B0EE" w14:textId="77777777" w:rsidR="00406B58" w:rsidRDefault="00000000">
      <w:pPr>
        <w:ind w:left="713" w:right="7" w:hanging="720"/>
      </w:pPr>
      <w:r>
        <w:t xml:space="preserve">Vouking, M. (2014). Male involvement in family planning decision making in sub Saharan Africa- what the evidence suggests. </w:t>
      </w:r>
      <w:r>
        <w:rPr>
          <w:i/>
        </w:rPr>
        <w:t>The Pan African medical journal</w:t>
      </w:r>
      <w:r>
        <w:t xml:space="preserve"> (19) 349-359. doi:10.11604/pamj.2014.19.349.5090</w:t>
      </w:r>
    </w:p>
    <w:p w14:paraId="4F578994" w14:textId="77777777" w:rsidR="00406B58" w:rsidRDefault="00000000">
      <w:pPr>
        <w:ind w:left="713" w:right="7" w:hanging="720"/>
      </w:pPr>
      <w:r>
        <w:t>Weinschenk S. (2014). How Stories Can Permanently Change Behavior. “Brain Wise” in Psychology Today, 2013. http://www.psychologytoday. com/blog/brain-wise.</w:t>
      </w:r>
    </w:p>
    <w:p w14:paraId="6C45DAFD" w14:textId="77777777" w:rsidR="00406B58" w:rsidRDefault="00000000">
      <w:pPr>
        <w:spacing w:after="114" w:line="230" w:lineRule="auto"/>
        <w:ind w:left="1" w:right="-9" w:hanging="10"/>
        <w:jc w:val="center"/>
      </w:pPr>
      <w:r>
        <w:t xml:space="preserve">Wilson B, and Koo, M. (2009). Can women's autonomy impede male involvement in pregnancy health in Kathmandu, Nepal? </w:t>
      </w:r>
      <w:r>
        <w:rPr>
          <w:i/>
        </w:rPr>
        <w:t>Social Science Medical Journal.</w:t>
      </w:r>
      <w:r>
        <w:t xml:space="preserve"> 61:93–102.</w:t>
      </w:r>
    </w:p>
    <w:p w14:paraId="4EEF0F26" w14:textId="77777777" w:rsidR="00406B58" w:rsidRDefault="00000000">
      <w:pPr>
        <w:spacing w:after="137"/>
        <w:ind w:left="713" w:right="7" w:hanging="720"/>
      </w:pPr>
      <w:r>
        <w:t xml:space="preserve">Witkowiski H.T. (2013). World War II Poster Campaigns: Preaching Frugality to American Consumers. J. of Advert. http://www.jstor.org/stable/4622151. </w:t>
      </w:r>
    </w:p>
    <w:p w14:paraId="44250CBB" w14:textId="77777777" w:rsidR="00406B58" w:rsidRDefault="00000000">
      <w:pPr>
        <w:spacing w:after="109" w:line="232" w:lineRule="auto"/>
        <w:ind w:left="726" w:right="0" w:hanging="720"/>
        <w:jc w:val="left"/>
      </w:pPr>
      <w:r>
        <w:t xml:space="preserve">World Health Organization. Unmet need for family planning </w:t>
      </w:r>
      <w:hyperlink r:id="rId10">
        <w:r>
          <w:rPr>
            <w:color w:val="0000C3"/>
            <w:u w:val="single" w:color="0000C3"/>
          </w:rPr>
          <w:t>h</w:t>
        </w:r>
      </w:hyperlink>
      <w:r>
        <w:rPr>
          <w:color w:val="0000C3"/>
          <w:u w:val="single" w:color="0000C3"/>
        </w:rPr>
        <w:t xml:space="preserve"> </w:t>
      </w:r>
      <w:hyperlink r:id="rId11">
        <w:r>
          <w:rPr>
            <w:color w:val="0000C3"/>
            <w:u w:val="single" w:color="0000C3"/>
          </w:rPr>
          <w:t>t</w:t>
        </w:r>
      </w:hyperlink>
      <w:r>
        <w:rPr>
          <w:color w:val="0000C3"/>
          <w:u w:val="single" w:color="0000C3"/>
        </w:rPr>
        <w:t xml:space="preserve"> </w:t>
      </w:r>
      <w:hyperlink r:id="rId12">
        <w:r>
          <w:rPr>
            <w:color w:val="0000C3"/>
            <w:u w:val="single" w:color="0000C3"/>
          </w:rPr>
          <w:t>t</w:t>
        </w:r>
      </w:hyperlink>
      <w:r>
        <w:rPr>
          <w:color w:val="0000C3"/>
          <w:u w:val="single" w:color="0000C3"/>
        </w:rPr>
        <w:t xml:space="preserve"> </w:t>
      </w:r>
      <w:hyperlink r:id="rId13">
        <w:r>
          <w:rPr>
            <w:color w:val="0000C3"/>
            <w:u w:val="single" w:color="0000C3"/>
          </w:rPr>
          <w:t>p</w:t>
        </w:r>
      </w:hyperlink>
      <w:r>
        <w:rPr>
          <w:color w:val="0000C3"/>
          <w:u w:val="single" w:color="0000C3"/>
        </w:rPr>
        <w:t xml:space="preserve"> </w:t>
      </w:r>
      <w:hyperlink r:id="rId14">
        <w:r>
          <w:rPr>
            <w:color w:val="0000C3"/>
            <w:u w:val="single" w:color="0000C3"/>
          </w:rPr>
          <w:t>s</w:t>
        </w:r>
      </w:hyperlink>
      <w:r>
        <w:rPr>
          <w:color w:val="0000C3"/>
          <w:u w:val="single" w:color="0000C3"/>
        </w:rPr>
        <w:t xml:space="preserve"> </w:t>
      </w:r>
      <w:hyperlink r:id="rId15">
        <w:r>
          <w:rPr>
            <w:color w:val="0000C3"/>
            <w:u w:val="single" w:color="0000C3"/>
          </w:rPr>
          <w:t>:</w:t>
        </w:r>
      </w:hyperlink>
      <w:r>
        <w:rPr>
          <w:color w:val="0000C3"/>
          <w:u w:val="single" w:color="0000C3"/>
        </w:rPr>
        <w:t xml:space="preserve"> </w:t>
      </w:r>
      <w:hyperlink r:id="rId16">
        <w:r>
          <w:rPr>
            <w:color w:val="0000C3"/>
            <w:u w:val="single" w:color="0000C3"/>
          </w:rPr>
          <w:t>/</w:t>
        </w:r>
      </w:hyperlink>
      <w:r>
        <w:rPr>
          <w:color w:val="0000C3"/>
          <w:u w:val="single" w:color="0000C3"/>
        </w:rPr>
        <w:t xml:space="preserve"> </w:t>
      </w:r>
      <w:hyperlink r:id="rId17">
        <w:r>
          <w:rPr>
            <w:color w:val="0000C3"/>
            <w:u w:val="single" w:color="0000C3"/>
          </w:rPr>
          <w:t>/</w:t>
        </w:r>
      </w:hyperlink>
      <w:r>
        <w:rPr>
          <w:color w:val="0000C3"/>
          <w:u w:val="single" w:color="0000C3"/>
        </w:rPr>
        <w:t xml:space="preserve"> </w:t>
      </w:r>
      <w:hyperlink r:id="rId18">
        <w:r>
          <w:rPr>
            <w:color w:val="0000C3"/>
            <w:u w:val="single" w:color="0000C3"/>
          </w:rPr>
          <w:t>w</w:t>
        </w:r>
      </w:hyperlink>
      <w:r>
        <w:rPr>
          <w:color w:val="0000C3"/>
          <w:u w:val="single" w:color="0000C3"/>
        </w:rPr>
        <w:t xml:space="preserve"> </w:t>
      </w:r>
      <w:hyperlink r:id="rId19">
        <w:r>
          <w:rPr>
            <w:color w:val="0000C3"/>
            <w:u w:val="single" w:color="0000C3"/>
          </w:rPr>
          <w:t>w</w:t>
        </w:r>
      </w:hyperlink>
      <w:r>
        <w:rPr>
          <w:color w:val="0000C3"/>
          <w:u w:val="single" w:color="0000C3"/>
        </w:rPr>
        <w:t xml:space="preserve"> </w:t>
      </w:r>
      <w:hyperlink r:id="rId20">
        <w:r>
          <w:rPr>
            <w:color w:val="0000C3"/>
            <w:u w:val="single" w:color="0000C3"/>
          </w:rPr>
          <w:t>w.</w:t>
        </w:r>
      </w:hyperlink>
      <w:r>
        <w:rPr>
          <w:color w:val="0000C3"/>
          <w:u w:val="single" w:color="0000C3"/>
        </w:rPr>
        <w:t xml:space="preserve"> </w:t>
      </w:r>
      <w:hyperlink r:id="rId21">
        <w:r>
          <w:rPr>
            <w:color w:val="0000C3"/>
            <w:u w:val="single" w:color="0000C3"/>
          </w:rPr>
          <w:t>w</w:t>
        </w:r>
      </w:hyperlink>
      <w:r>
        <w:rPr>
          <w:color w:val="0000C3"/>
          <w:u w:val="single" w:color="0000C3"/>
        </w:rPr>
        <w:t xml:space="preserve"> </w:t>
      </w:r>
      <w:hyperlink r:id="rId22">
        <w:r>
          <w:rPr>
            <w:color w:val="0000C3"/>
            <w:u w:val="single" w:color="0000C3"/>
          </w:rPr>
          <w:t>h</w:t>
        </w:r>
      </w:hyperlink>
      <w:r>
        <w:rPr>
          <w:color w:val="0000C3"/>
          <w:u w:val="single" w:color="0000C3"/>
        </w:rPr>
        <w:t xml:space="preserve"> </w:t>
      </w:r>
      <w:hyperlink r:id="rId23">
        <w:r>
          <w:rPr>
            <w:color w:val="0000C3"/>
            <w:u w:val="single" w:color="0000C3"/>
          </w:rPr>
          <w:t>o</w:t>
        </w:r>
      </w:hyperlink>
      <w:r>
        <w:rPr>
          <w:color w:val="0000C3"/>
          <w:u w:val="single" w:color="0000C3"/>
        </w:rPr>
        <w:t xml:space="preserve"> </w:t>
      </w:r>
      <w:hyperlink r:id="rId24">
        <w:r>
          <w:rPr>
            <w:color w:val="0000C3"/>
            <w:u w:val="single" w:color="0000C3"/>
          </w:rPr>
          <w:t>.</w:t>
        </w:r>
      </w:hyperlink>
      <w:r>
        <w:rPr>
          <w:color w:val="0000C3"/>
          <w:u w:val="single" w:color="0000C3"/>
        </w:rPr>
        <w:t xml:space="preserve"> </w:t>
      </w:r>
      <w:hyperlink r:id="rId25">
        <w:r>
          <w:rPr>
            <w:color w:val="0000C3"/>
            <w:u w:val="single" w:color="0000C3"/>
          </w:rPr>
          <w:t>i</w:t>
        </w:r>
      </w:hyperlink>
      <w:r>
        <w:rPr>
          <w:color w:val="0000C3"/>
          <w:u w:val="single" w:color="0000C3"/>
        </w:rPr>
        <w:t xml:space="preserve"> </w:t>
      </w:r>
      <w:hyperlink r:id="rId26">
        <w:r>
          <w:rPr>
            <w:color w:val="0000C3"/>
            <w:u w:val="single" w:color="0000C3"/>
          </w:rPr>
          <w:t>n</w:t>
        </w:r>
      </w:hyperlink>
      <w:r>
        <w:rPr>
          <w:color w:val="0000C3"/>
          <w:u w:val="single" w:color="0000C3"/>
        </w:rPr>
        <w:t xml:space="preserve"> </w:t>
      </w:r>
      <w:hyperlink r:id="rId27">
        <w:r>
          <w:rPr>
            <w:color w:val="0000C3"/>
            <w:u w:val="single" w:color="0000C3"/>
          </w:rPr>
          <w:t>t</w:t>
        </w:r>
      </w:hyperlink>
      <w:r>
        <w:rPr>
          <w:color w:val="0000C3"/>
          <w:u w:val="single" w:color="0000C3"/>
        </w:rPr>
        <w:t xml:space="preserve"> </w:t>
      </w:r>
      <w:hyperlink r:id="rId28">
        <w:r>
          <w:rPr>
            <w:color w:val="0000C3"/>
            <w:u w:val="single" w:color="0000C3"/>
          </w:rPr>
          <w:t>/</w:t>
        </w:r>
      </w:hyperlink>
      <w:hyperlink r:id="rId29">
        <w:r>
          <w:rPr>
            <w:color w:val="0000C3"/>
          </w:rPr>
          <w:t xml:space="preserve"> </w:t>
        </w:r>
      </w:hyperlink>
      <w:hyperlink r:id="rId30">
        <w:r>
          <w:rPr>
            <w:color w:val="0000C3"/>
            <w:u w:val="single" w:color="0000C3"/>
          </w:rPr>
          <w:t>reproductivehealth/topics/family_planning/unmet_n</w:t>
        </w:r>
      </w:hyperlink>
      <w:r>
        <w:t xml:space="preserve"> ed_fp/en/</w:t>
      </w:r>
    </w:p>
    <w:p w14:paraId="5C66394C" w14:textId="77777777" w:rsidR="00406B58" w:rsidRDefault="00000000">
      <w:pPr>
        <w:spacing w:after="23"/>
        <w:ind w:left="-1" w:right="7"/>
      </w:pPr>
      <w:r>
        <w:t>World Health Organization. (2018). Family planning/Contraception.</w:t>
      </w:r>
      <w:hyperlink r:id="rId31">
        <w:r>
          <w:rPr>
            <w:color w:val="0000C3"/>
            <w:u w:val="single" w:color="0000C3"/>
          </w:rPr>
          <w:t xml:space="preserve"> </w:t>
        </w:r>
      </w:hyperlink>
      <w:hyperlink r:id="rId32">
        <w:r>
          <w:rPr>
            <w:color w:val="0000C3"/>
            <w:u w:val="single" w:color="0000C3"/>
          </w:rPr>
          <w:t>https://www.</w:t>
        </w:r>
      </w:hyperlink>
      <w:hyperlink r:id="rId33">
        <w:r>
          <w:rPr>
            <w:color w:val="0000C3"/>
          </w:rPr>
          <w:t xml:space="preserve"> </w:t>
        </w:r>
      </w:hyperlink>
    </w:p>
    <w:p w14:paraId="58B110DE" w14:textId="77777777" w:rsidR="00406B58" w:rsidRDefault="00000000">
      <w:pPr>
        <w:spacing w:after="109" w:line="232" w:lineRule="auto"/>
        <w:ind w:left="720" w:right="0" w:hanging="10"/>
        <w:jc w:val="left"/>
      </w:pPr>
      <w:hyperlink r:id="rId34">
        <w:r>
          <w:rPr>
            <w:color w:val="0000C3"/>
            <w:u w:val="single" w:color="0000C3"/>
          </w:rPr>
          <w:t xml:space="preserve">who.int/news-room/fact-sheets/detail/familyplanningcontraception Accessed </w:t>
        </w:r>
      </w:hyperlink>
      <w:hyperlink r:id="rId35">
        <w:r>
          <w:rPr>
            <w:color w:val="0000C3"/>
            <w:u w:val="single" w:color="0000C3"/>
          </w:rPr>
          <w:t>27</w:t>
        </w:r>
      </w:hyperlink>
      <w:hyperlink r:id="rId36">
        <w:r>
          <w:rPr>
            <w:color w:val="0000C3"/>
          </w:rPr>
          <w:t xml:space="preserve"> </w:t>
        </w:r>
      </w:hyperlink>
      <w:hyperlink r:id="rId37">
        <w:r>
          <w:rPr>
            <w:color w:val="0000C3"/>
            <w:u w:val="single" w:color="0000C3"/>
          </w:rPr>
          <w:t>Dec 2018</w:t>
        </w:r>
      </w:hyperlink>
      <w:r>
        <w:t>.</w:t>
      </w:r>
    </w:p>
    <w:sectPr w:rsidR="00406B58">
      <w:headerReference w:type="even" r:id="rId38"/>
      <w:headerReference w:type="default" r:id="rId39"/>
      <w:footerReference w:type="even" r:id="rId40"/>
      <w:footerReference w:type="default" r:id="rId41"/>
      <w:headerReference w:type="first" r:id="rId42"/>
      <w:footerReference w:type="first" r:id="rId43"/>
      <w:pgSz w:w="11906" w:h="16838"/>
      <w:pgMar w:top="1108" w:right="1584" w:bottom="2065" w:left="1568" w:header="720" w:footer="1427" w:gutter="0"/>
      <w:pgNumType w:start="1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863A6" w14:textId="77777777" w:rsidR="00CE2C99" w:rsidRDefault="00CE2C99">
      <w:pPr>
        <w:spacing w:after="0" w:line="240" w:lineRule="auto"/>
      </w:pPr>
      <w:r>
        <w:separator/>
      </w:r>
    </w:p>
  </w:endnote>
  <w:endnote w:type="continuationSeparator" w:id="0">
    <w:p w14:paraId="2B2DE85C" w14:textId="77777777" w:rsidR="00CE2C99" w:rsidRDefault="00CE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B783" w14:textId="77777777" w:rsidR="00406B58" w:rsidRDefault="00000000">
    <w:pPr>
      <w:spacing w:after="0" w:line="259" w:lineRule="auto"/>
      <w:ind w:left="39"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2C0A46DF" wp14:editId="214DA7C3">
              <wp:simplePos x="0" y="0"/>
              <wp:positionH relativeFrom="page">
                <wp:posOffset>1015088</wp:posOffset>
              </wp:positionH>
              <wp:positionV relativeFrom="page">
                <wp:posOffset>9478401</wp:posOffset>
              </wp:positionV>
              <wp:extent cx="5529824" cy="299886"/>
              <wp:effectExtent l="0" t="0" r="0" b="0"/>
              <wp:wrapNone/>
              <wp:docPr id="38505" name="Group 38505"/>
              <wp:cNvGraphicFramePr/>
              <a:graphic xmlns:a="http://schemas.openxmlformats.org/drawingml/2006/main">
                <a:graphicData uri="http://schemas.microsoft.com/office/word/2010/wordprocessingGroup">
                  <wpg:wgp>
                    <wpg:cNvGrpSpPr/>
                    <wpg:grpSpPr>
                      <a:xfrm>
                        <a:off x="0" y="0"/>
                        <a:ext cx="5529824" cy="299886"/>
                        <a:chOff x="0" y="0"/>
                        <a:chExt cx="5529824" cy="299886"/>
                      </a:xfrm>
                    </wpg:grpSpPr>
                    <wps:wsp>
                      <wps:cNvPr id="38506" name="Shape 38506"/>
                      <wps:cNvSpPr/>
                      <wps:spPr>
                        <a:xfrm>
                          <a:off x="0" y="0"/>
                          <a:ext cx="5529824" cy="0"/>
                        </a:xfrm>
                        <a:custGeom>
                          <a:avLst/>
                          <a:gdLst/>
                          <a:ahLst/>
                          <a:cxnLst/>
                          <a:rect l="0" t="0" r="0" b="0"/>
                          <a:pathLst>
                            <a:path w="5529824">
                              <a:moveTo>
                                <a:pt x="0" y="0"/>
                              </a:moveTo>
                              <a:lnTo>
                                <a:pt x="5529824"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s:wsp>
                      <wps:cNvPr id="38507" name="Shape 38507"/>
                      <wps:cNvSpPr/>
                      <wps:spPr>
                        <a:xfrm>
                          <a:off x="236019" y="169470"/>
                          <a:ext cx="0" cy="130416"/>
                        </a:xfrm>
                        <a:custGeom>
                          <a:avLst/>
                          <a:gdLst/>
                          <a:ahLst/>
                          <a:cxnLst/>
                          <a:rect l="0" t="0" r="0" b="0"/>
                          <a:pathLst>
                            <a:path h="130416">
                              <a:moveTo>
                                <a:pt x="0" y="0"/>
                              </a:moveTo>
                              <a:lnTo>
                                <a:pt x="0" y="130416"/>
                              </a:lnTo>
                            </a:path>
                          </a:pathLst>
                        </a:custGeom>
                        <a:ln w="9522"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05" style="width:435.419pt;height:23.6131pt;position:absolute;z-index:-2147483639;mso-position-horizontal-relative:page;mso-position-horizontal:absolute;margin-left:79.9282pt;mso-position-vertical-relative:page;margin-top:746.331pt;" coordsize="55298,2998">
              <v:shape id="Shape 38506" style="position:absolute;width:55298;height:0;left:0;top:0;" coordsize="5529824,0" path="m0,0l5529824,0">
                <v:stroke weight="0.9998pt" endcap="flat" joinstyle="miter" miterlimit="2" on="true" color="#221f20"/>
                <v:fill on="false" color="#000000" opacity="0"/>
              </v:shape>
              <v:shape id="Shape 38507" style="position:absolute;width:0;height:1304;left:2360;top:1694;" coordsize="0,130416" path="m0,0l0,130416">
                <v:stroke weight="0.7498pt" endcap="flat" joinstyle="miter" miterlimit="2" on="true" color="#221f20"/>
                <v:fill on="false" color="#000000" opacity="0"/>
              </v:shape>
            </v:group>
          </w:pict>
        </mc:Fallback>
      </mc:AlternateContent>
    </w:r>
    <w:r>
      <w:rPr>
        <w:sz w:val="20"/>
      </w:rPr>
      <w:t>Corresponding Author: Desola Dorcas, Akpan</w:t>
    </w:r>
    <w:r>
      <w:rPr>
        <w:b/>
      </w:rPr>
      <w:t xml:space="preserve"> </w:t>
    </w:r>
    <w:r>
      <w:rPr>
        <w:i/>
        <w:sz w:val="18"/>
      </w:rPr>
      <w:t xml:space="preserve"> Email: akpan.desola2342@fcesoyo.edu.ng</w:t>
    </w:r>
  </w:p>
  <w:p w14:paraId="258818D3" w14:textId="77777777" w:rsidR="00406B58" w:rsidRDefault="00000000">
    <w:pPr>
      <w:spacing w:after="0" w:line="259" w:lineRule="auto"/>
      <w:ind w:left="35" w:right="0" w:firstLine="0"/>
      <w:jc w:val="left"/>
    </w:pPr>
    <w:r>
      <w:fldChar w:fldCharType="begin"/>
    </w:r>
    <w:r>
      <w:instrText xml:space="preserve"> PAGE   \* MERGEFORMAT </w:instrText>
    </w:r>
    <w:r>
      <w:fldChar w:fldCharType="separate"/>
    </w:r>
    <w:r>
      <w:rPr>
        <w:sz w:val="20"/>
      </w:rPr>
      <w:t>176</w:t>
    </w:r>
    <w:r>
      <w:rPr>
        <w:sz w:val="20"/>
      </w:rPr>
      <w:fldChar w:fldCharType="end"/>
    </w:r>
    <w:r>
      <w:rPr>
        <w:sz w:val="20"/>
      </w:rPr>
      <w:t xml:space="preserv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1B0E" w14:textId="77777777" w:rsidR="00406B58" w:rsidRDefault="00000000">
    <w:pPr>
      <w:spacing w:after="0" w:line="259" w:lineRule="auto"/>
      <w:ind w:left="39"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3B29BA02" wp14:editId="4AD1B438">
              <wp:simplePos x="0" y="0"/>
              <wp:positionH relativeFrom="page">
                <wp:posOffset>1015088</wp:posOffset>
              </wp:positionH>
              <wp:positionV relativeFrom="page">
                <wp:posOffset>9478401</wp:posOffset>
              </wp:positionV>
              <wp:extent cx="5529824" cy="299886"/>
              <wp:effectExtent l="0" t="0" r="0" b="0"/>
              <wp:wrapNone/>
              <wp:docPr id="38479" name="Group 38479"/>
              <wp:cNvGraphicFramePr/>
              <a:graphic xmlns:a="http://schemas.openxmlformats.org/drawingml/2006/main">
                <a:graphicData uri="http://schemas.microsoft.com/office/word/2010/wordprocessingGroup">
                  <wpg:wgp>
                    <wpg:cNvGrpSpPr/>
                    <wpg:grpSpPr>
                      <a:xfrm>
                        <a:off x="0" y="0"/>
                        <a:ext cx="5529824" cy="299886"/>
                        <a:chOff x="0" y="0"/>
                        <a:chExt cx="5529824" cy="299886"/>
                      </a:xfrm>
                    </wpg:grpSpPr>
                    <wps:wsp>
                      <wps:cNvPr id="38480" name="Shape 38480"/>
                      <wps:cNvSpPr/>
                      <wps:spPr>
                        <a:xfrm>
                          <a:off x="0" y="0"/>
                          <a:ext cx="5529824" cy="0"/>
                        </a:xfrm>
                        <a:custGeom>
                          <a:avLst/>
                          <a:gdLst/>
                          <a:ahLst/>
                          <a:cxnLst/>
                          <a:rect l="0" t="0" r="0" b="0"/>
                          <a:pathLst>
                            <a:path w="5529824">
                              <a:moveTo>
                                <a:pt x="0" y="0"/>
                              </a:moveTo>
                              <a:lnTo>
                                <a:pt x="5529824"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s:wsp>
                      <wps:cNvPr id="38481" name="Shape 38481"/>
                      <wps:cNvSpPr/>
                      <wps:spPr>
                        <a:xfrm>
                          <a:off x="236019" y="169470"/>
                          <a:ext cx="0" cy="130416"/>
                        </a:xfrm>
                        <a:custGeom>
                          <a:avLst/>
                          <a:gdLst/>
                          <a:ahLst/>
                          <a:cxnLst/>
                          <a:rect l="0" t="0" r="0" b="0"/>
                          <a:pathLst>
                            <a:path h="130416">
                              <a:moveTo>
                                <a:pt x="0" y="0"/>
                              </a:moveTo>
                              <a:lnTo>
                                <a:pt x="0" y="130416"/>
                              </a:lnTo>
                            </a:path>
                          </a:pathLst>
                        </a:custGeom>
                        <a:ln w="9522"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79" style="width:435.419pt;height:23.6131pt;position:absolute;z-index:-2147483639;mso-position-horizontal-relative:page;mso-position-horizontal:absolute;margin-left:79.9282pt;mso-position-vertical-relative:page;margin-top:746.331pt;" coordsize="55298,2998">
              <v:shape id="Shape 38480" style="position:absolute;width:55298;height:0;left:0;top:0;" coordsize="5529824,0" path="m0,0l5529824,0">
                <v:stroke weight="0.9998pt" endcap="flat" joinstyle="miter" miterlimit="2" on="true" color="#221f20"/>
                <v:fill on="false" color="#000000" opacity="0"/>
              </v:shape>
              <v:shape id="Shape 38481" style="position:absolute;width:0;height:1304;left:2360;top:1694;" coordsize="0,130416" path="m0,0l0,130416">
                <v:stroke weight="0.7498pt" endcap="flat" joinstyle="miter" miterlimit="2" on="true" color="#221f20"/>
                <v:fill on="false" color="#000000" opacity="0"/>
              </v:shape>
            </v:group>
          </w:pict>
        </mc:Fallback>
      </mc:AlternateContent>
    </w:r>
    <w:r>
      <w:rPr>
        <w:sz w:val="20"/>
      </w:rPr>
      <w:t>Corresponding Author: Desola Dorcas, Akpan</w:t>
    </w:r>
    <w:r>
      <w:rPr>
        <w:b/>
      </w:rPr>
      <w:t xml:space="preserve"> </w:t>
    </w:r>
    <w:r>
      <w:rPr>
        <w:i/>
        <w:sz w:val="18"/>
      </w:rPr>
      <w:t xml:space="preserve"> Email: akpan.desola2342@fcesoyo.edu.ng</w:t>
    </w:r>
  </w:p>
  <w:p w14:paraId="78D8C8D1" w14:textId="77777777" w:rsidR="00406B58" w:rsidRDefault="00000000">
    <w:pPr>
      <w:spacing w:after="0" w:line="259" w:lineRule="auto"/>
      <w:ind w:left="35" w:right="0" w:firstLine="0"/>
      <w:jc w:val="left"/>
    </w:pPr>
    <w:r>
      <w:fldChar w:fldCharType="begin"/>
    </w:r>
    <w:r>
      <w:instrText xml:space="preserve"> PAGE   \* MERGEFORMAT </w:instrText>
    </w:r>
    <w:r>
      <w:fldChar w:fldCharType="separate"/>
    </w:r>
    <w:r>
      <w:rPr>
        <w:sz w:val="20"/>
      </w:rPr>
      <w:t>176</w:t>
    </w:r>
    <w:r>
      <w:rPr>
        <w:sz w:val="20"/>
      </w:rPr>
      <w:fldChar w:fldCharType="end"/>
    </w:r>
    <w:r>
      <w:rPr>
        <w:sz w:val="20"/>
      </w:rPr>
      <w:t xml:space="preserv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35EB" w14:textId="77777777" w:rsidR="00406B58" w:rsidRDefault="00000000">
    <w:pPr>
      <w:spacing w:after="0" w:line="259" w:lineRule="auto"/>
      <w:ind w:left="39"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69FBABD9" wp14:editId="76FC860F">
              <wp:simplePos x="0" y="0"/>
              <wp:positionH relativeFrom="page">
                <wp:posOffset>1015088</wp:posOffset>
              </wp:positionH>
              <wp:positionV relativeFrom="page">
                <wp:posOffset>9478401</wp:posOffset>
              </wp:positionV>
              <wp:extent cx="5529824" cy="299886"/>
              <wp:effectExtent l="0" t="0" r="0" b="0"/>
              <wp:wrapNone/>
              <wp:docPr id="38453" name="Group 38453"/>
              <wp:cNvGraphicFramePr/>
              <a:graphic xmlns:a="http://schemas.openxmlformats.org/drawingml/2006/main">
                <a:graphicData uri="http://schemas.microsoft.com/office/word/2010/wordprocessingGroup">
                  <wpg:wgp>
                    <wpg:cNvGrpSpPr/>
                    <wpg:grpSpPr>
                      <a:xfrm>
                        <a:off x="0" y="0"/>
                        <a:ext cx="5529824" cy="299886"/>
                        <a:chOff x="0" y="0"/>
                        <a:chExt cx="5529824" cy="299886"/>
                      </a:xfrm>
                    </wpg:grpSpPr>
                    <wps:wsp>
                      <wps:cNvPr id="38454" name="Shape 38454"/>
                      <wps:cNvSpPr/>
                      <wps:spPr>
                        <a:xfrm>
                          <a:off x="0" y="0"/>
                          <a:ext cx="5529824" cy="0"/>
                        </a:xfrm>
                        <a:custGeom>
                          <a:avLst/>
                          <a:gdLst/>
                          <a:ahLst/>
                          <a:cxnLst/>
                          <a:rect l="0" t="0" r="0" b="0"/>
                          <a:pathLst>
                            <a:path w="5529824">
                              <a:moveTo>
                                <a:pt x="0" y="0"/>
                              </a:moveTo>
                              <a:lnTo>
                                <a:pt x="5529824"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s:wsp>
                      <wps:cNvPr id="38455" name="Shape 38455"/>
                      <wps:cNvSpPr/>
                      <wps:spPr>
                        <a:xfrm>
                          <a:off x="236019" y="169470"/>
                          <a:ext cx="0" cy="130416"/>
                        </a:xfrm>
                        <a:custGeom>
                          <a:avLst/>
                          <a:gdLst/>
                          <a:ahLst/>
                          <a:cxnLst/>
                          <a:rect l="0" t="0" r="0" b="0"/>
                          <a:pathLst>
                            <a:path h="130416">
                              <a:moveTo>
                                <a:pt x="0" y="0"/>
                              </a:moveTo>
                              <a:lnTo>
                                <a:pt x="0" y="130416"/>
                              </a:lnTo>
                            </a:path>
                          </a:pathLst>
                        </a:custGeom>
                        <a:ln w="9522"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53" style="width:435.419pt;height:23.6131pt;position:absolute;z-index:-2147483639;mso-position-horizontal-relative:page;mso-position-horizontal:absolute;margin-left:79.9282pt;mso-position-vertical-relative:page;margin-top:746.331pt;" coordsize="55298,2998">
              <v:shape id="Shape 38454" style="position:absolute;width:55298;height:0;left:0;top:0;" coordsize="5529824,0" path="m0,0l5529824,0">
                <v:stroke weight="0.9998pt" endcap="flat" joinstyle="miter" miterlimit="2" on="true" color="#221f20"/>
                <v:fill on="false" color="#000000" opacity="0"/>
              </v:shape>
              <v:shape id="Shape 38455" style="position:absolute;width:0;height:1304;left:2360;top:1694;" coordsize="0,130416" path="m0,0l0,130416">
                <v:stroke weight="0.7498pt" endcap="flat" joinstyle="miter" miterlimit="2" on="true" color="#221f20"/>
                <v:fill on="false" color="#000000" opacity="0"/>
              </v:shape>
            </v:group>
          </w:pict>
        </mc:Fallback>
      </mc:AlternateContent>
    </w:r>
    <w:r>
      <w:rPr>
        <w:sz w:val="20"/>
      </w:rPr>
      <w:t>Corresponding Author: Desola Dorcas, Akpan</w:t>
    </w:r>
    <w:r>
      <w:rPr>
        <w:b/>
      </w:rPr>
      <w:t xml:space="preserve"> </w:t>
    </w:r>
    <w:r>
      <w:rPr>
        <w:i/>
        <w:sz w:val="18"/>
      </w:rPr>
      <w:t xml:space="preserve"> Email: akpan.desola2342@fcesoyo.edu.ng</w:t>
    </w:r>
  </w:p>
  <w:p w14:paraId="73E03536" w14:textId="77777777" w:rsidR="00406B58" w:rsidRDefault="00000000">
    <w:pPr>
      <w:spacing w:after="0" w:line="259" w:lineRule="auto"/>
      <w:ind w:left="35" w:right="0" w:firstLine="0"/>
      <w:jc w:val="left"/>
    </w:pPr>
    <w:r>
      <w:fldChar w:fldCharType="begin"/>
    </w:r>
    <w:r>
      <w:instrText xml:space="preserve"> PAGE   \* MERGEFORMAT </w:instrText>
    </w:r>
    <w:r>
      <w:fldChar w:fldCharType="separate"/>
    </w:r>
    <w:r>
      <w:rPr>
        <w:sz w:val="20"/>
      </w:rPr>
      <w:t>176</w:t>
    </w:r>
    <w:r>
      <w:rPr>
        <w:sz w:val="20"/>
      </w:rPr>
      <w:fldChar w:fldCharType="end"/>
    </w:r>
    <w:r>
      <w:rPr>
        <w:sz w:val="20"/>
      </w:rPr>
      <w:t xml:space="preserv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C93D" w14:textId="77777777" w:rsidR="00CE2C99" w:rsidRDefault="00CE2C99">
      <w:pPr>
        <w:spacing w:after="0" w:line="240" w:lineRule="auto"/>
      </w:pPr>
      <w:r>
        <w:separator/>
      </w:r>
    </w:p>
  </w:footnote>
  <w:footnote w:type="continuationSeparator" w:id="0">
    <w:p w14:paraId="3390EBB8" w14:textId="77777777" w:rsidR="00CE2C99" w:rsidRDefault="00CE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0BF0" w14:textId="77777777" w:rsidR="00406B58" w:rsidRDefault="00000000">
    <w:pPr>
      <w:spacing w:after="0" w:line="226" w:lineRule="auto"/>
      <w:ind w:left="121" w:right="41" w:firstLine="0"/>
      <w:jc w:val="cente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7F0A822" wp14:editId="566EDCBE">
              <wp:simplePos x="0" y="0"/>
              <wp:positionH relativeFrom="page">
                <wp:posOffset>1015088</wp:posOffset>
              </wp:positionH>
              <wp:positionV relativeFrom="page">
                <wp:posOffset>1078193</wp:posOffset>
              </wp:positionV>
              <wp:extent cx="5529824" cy="12697"/>
              <wp:effectExtent l="0" t="0" r="0" b="0"/>
              <wp:wrapSquare wrapText="bothSides"/>
              <wp:docPr id="38495" name="Group 38495"/>
              <wp:cNvGraphicFramePr/>
              <a:graphic xmlns:a="http://schemas.openxmlformats.org/drawingml/2006/main">
                <a:graphicData uri="http://schemas.microsoft.com/office/word/2010/wordprocessingGroup">
                  <wpg:wgp>
                    <wpg:cNvGrpSpPr/>
                    <wpg:grpSpPr>
                      <a:xfrm>
                        <a:off x="0" y="0"/>
                        <a:ext cx="5529824" cy="12697"/>
                        <a:chOff x="0" y="0"/>
                        <a:chExt cx="5529824" cy="12697"/>
                      </a:xfrm>
                    </wpg:grpSpPr>
                    <wps:wsp>
                      <wps:cNvPr id="38496" name="Shape 38496"/>
                      <wps:cNvSpPr/>
                      <wps:spPr>
                        <a:xfrm>
                          <a:off x="0" y="0"/>
                          <a:ext cx="5529824" cy="0"/>
                        </a:xfrm>
                        <a:custGeom>
                          <a:avLst/>
                          <a:gdLst/>
                          <a:ahLst/>
                          <a:cxnLst/>
                          <a:rect l="0" t="0" r="0" b="0"/>
                          <a:pathLst>
                            <a:path w="5529824">
                              <a:moveTo>
                                <a:pt x="0" y="0"/>
                              </a:moveTo>
                              <a:lnTo>
                                <a:pt x="5529824"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95" style="width:435.419pt;height:0.9998pt;position:absolute;mso-position-horizontal-relative:page;mso-position-horizontal:absolute;margin-left:79.9282pt;mso-position-vertical-relative:page;margin-top:84.8971pt;" coordsize="55298,126">
              <v:shape id="Shape 38496" style="position:absolute;width:55298;height:0;left:0;top:0;" coordsize="5529824,0" path="m0,0l5529824,0">
                <v:stroke weight="0.9998pt" endcap="flat" joinstyle="miter" miterlimit="2" on="true" color="#221f20"/>
                <v:fill on="false" color="#000000" opacity="0"/>
              </v:shape>
              <w10:wrap type="square"/>
            </v:group>
          </w:pict>
        </mc:Fallback>
      </mc:AlternateContent>
    </w:r>
    <w:r>
      <w:rPr>
        <w:i/>
        <w:sz w:val="22"/>
      </w:rPr>
      <w:t>The Effects of Knowledge, Attitude and Awareness of Sexually Transmitted Diseases on the Academic Performance of Students with Physical and Health Impairments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B4A0" w14:textId="77777777" w:rsidR="00406B58" w:rsidRDefault="00000000">
    <w:pPr>
      <w:spacing w:after="0" w:line="226" w:lineRule="auto"/>
      <w:ind w:left="121" w:right="41" w:firstLine="0"/>
      <w:jc w:val="cen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6174E4B" wp14:editId="77239B50">
              <wp:simplePos x="0" y="0"/>
              <wp:positionH relativeFrom="page">
                <wp:posOffset>1015088</wp:posOffset>
              </wp:positionH>
              <wp:positionV relativeFrom="page">
                <wp:posOffset>1078193</wp:posOffset>
              </wp:positionV>
              <wp:extent cx="5529824" cy="12697"/>
              <wp:effectExtent l="0" t="0" r="0" b="0"/>
              <wp:wrapSquare wrapText="bothSides"/>
              <wp:docPr id="38469" name="Group 38469"/>
              <wp:cNvGraphicFramePr/>
              <a:graphic xmlns:a="http://schemas.openxmlformats.org/drawingml/2006/main">
                <a:graphicData uri="http://schemas.microsoft.com/office/word/2010/wordprocessingGroup">
                  <wpg:wgp>
                    <wpg:cNvGrpSpPr/>
                    <wpg:grpSpPr>
                      <a:xfrm>
                        <a:off x="0" y="0"/>
                        <a:ext cx="5529824" cy="12697"/>
                        <a:chOff x="0" y="0"/>
                        <a:chExt cx="5529824" cy="12697"/>
                      </a:xfrm>
                    </wpg:grpSpPr>
                    <wps:wsp>
                      <wps:cNvPr id="38470" name="Shape 38470"/>
                      <wps:cNvSpPr/>
                      <wps:spPr>
                        <a:xfrm>
                          <a:off x="0" y="0"/>
                          <a:ext cx="5529824" cy="0"/>
                        </a:xfrm>
                        <a:custGeom>
                          <a:avLst/>
                          <a:gdLst/>
                          <a:ahLst/>
                          <a:cxnLst/>
                          <a:rect l="0" t="0" r="0" b="0"/>
                          <a:pathLst>
                            <a:path w="5529824">
                              <a:moveTo>
                                <a:pt x="0" y="0"/>
                              </a:moveTo>
                              <a:lnTo>
                                <a:pt x="5529824" y="0"/>
                              </a:lnTo>
                            </a:path>
                          </a:pathLst>
                        </a:custGeom>
                        <a:ln w="12697"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469" style="width:435.419pt;height:0.9998pt;position:absolute;mso-position-horizontal-relative:page;mso-position-horizontal:absolute;margin-left:79.9282pt;mso-position-vertical-relative:page;margin-top:84.8971pt;" coordsize="55298,126">
              <v:shape id="Shape 38470" style="position:absolute;width:55298;height:0;left:0;top:0;" coordsize="5529824,0" path="m0,0l5529824,0">
                <v:stroke weight="0.9998pt" endcap="flat" joinstyle="miter" miterlimit="2" on="true" color="#221f20"/>
                <v:fill on="false" color="#000000" opacity="0"/>
              </v:shape>
              <w10:wrap type="square"/>
            </v:group>
          </w:pict>
        </mc:Fallback>
      </mc:AlternateContent>
    </w:r>
    <w:r>
      <w:rPr>
        <w:i/>
        <w:sz w:val="22"/>
      </w:rPr>
      <w:t>The Effects of Knowledge, Attitude and Awareness of Sexually Transmitted Diseases on the Academic Performance of Students with Physical and Health Impairments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D70C" w14:textId="77777777" w:rsidR="00406B58" w:rsidRDefault="00406B5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E7683"/>
    <w:multiLevelType w:val="hybridMultilevel"/>
    <w:tmpl w:val="C4220930"/>
    <w:lvl w:ilvl="0" w:tplc="CEB0D204">
      <w:start w:val="1"/>
      <w:numFmt w:val="lowerRoman"/>
      <w:lvlText w:val="%1."/>
      <w:lvlJc w:val="left"/>
      <w:pPr>
        <w:ind w:left="445"/>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95B25C3E">
      <w:start w:val="1"/>
      <w:numFmt w:val="lowerLetter"/>
      <w:lvlText w:val="%2"/>
      <w:lvlJc w:val="left"/>
      <w:pPr>
        <w:ind w:left="108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341EC79C">
      <w:start w:val="1"/>
      <w:numFmt w:val="lowerRoman"/>
      <w:lvlText w:val="%3"/>
      <w:lvlJc w:val="left"/>
      <w:pPr>
        <w:ind w:left="180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36A24E08">
      <w:start w:val="1"/>
      <w:numFmt w:val="decimal"/>
      <w:lvlText w:val="%4"/>
      <w:lvlJc w:val="left"/>
      <w:pPr>
        <w:ind w:left="252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EB52301A">
      <w:start w:val="1"/>
      <w:numFmt w:val="lowerLetter"/>
      <w:lvlText w:val="%5"/>
      <w:lvlJc w:val="left"/>
      <w:pPr>
        <w:ind w:left="324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B6EC31A6">
      <w:start w:val="1"/>
      <w:numFmt w:val="lowerRoman"/>
      <w:lvlText w:val="%6"/>
      <w:lvlJc w:val="left"/>
      <w:pPr>
        <w:ind w:left="396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F778732E">
      <w:start w:val="1"/>
      <w:numFmt w:val="decimal"/>
      <w:lvlText w:val="%7"/>
      <w:lvlJc w:val="left"/>
      <w:pPr>
        <w:ind w:left="468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404ACCA2">
      <w:start w:val="1"/>
      <w:numFmt w:val="lowerLetter"/>
      <w:lvlText w:val="%8"/>
      <w:lvlJc w:val="left"/>
      <w:pPr>
        <w:ind w:left="540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F682A4E0">
      <w:start w:val="1"/>
      <w:numFmt w:val="lowerRoman"/>
      <w:lvlText w:val="%9"/>
      <w:lvlJc w:val="left"/>
      <w:pPr>
        <w:ind w:left="612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1" w15:restartNumberingAfterBreak="0">
    <w:nsid w:val="54E52A24"/>
    <w:multiLevelType w:val="hybridMultilevel"/>
    <w:tmpl w:val="E6AA8678"/>
    <w:lvl w:ilvl="0" w:tplc="3D160062">
      <w:start w:val="1"/>
      <w:numFmt w:val="lowerRoman"/>
      <w:lvlText w:val="%1."/>
      <w:lvlJc w:val="left"/>
      <w:pPr>
        <w:ind w:left="50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17465604">
      <w:start w:val="1"/>
      <w:numFmt w:val="lowerLetter"/>
      <w:lvlText w:val="%2"/>
      <w:lvlJc w:val="left"/>
      <w:pPr>
        <w:ind w:left="108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4C08674E">
      <w:start w:val="1"/>
      <w:numFmt w:val="lowerRoman"/>
      <w:lvlText w:val="%3"/>
      <w:lvlJc w:val="left"/>
      <w:pPr>
        <w:ind w:left="180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B1EA09A2">
      <w:start w:val="1"/>
      <w:numFmt w:val="decimal"/>
      <w:lvlText w:val="%4"/>
      <w:lvlJc w:val="left"/>
      <w:pPr>
        <w:ind w:left="252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EF3EB436">
      <w:start w:val="1"/>
      <w:numFmt w:val="lowerLetter"/>
      <w:lvlText w:val="%5"/>
      <w:lvlJc w:val="left"/>
      <w:pPr>
        <w:ind w:left="324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228225DA">
      <w:start w:val="1"/>
      <w:numFmt w:val="lowerRoman"/>
      <w:lvlText w:val="%6"/>
      <w:lvlJc w:val="left"/>
      <w:pPr>
        <w:ind w:left="396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A484D5E0">
      <w:start w:val="1"/>
      <w:numFmt w:val="decimal"/>
      <w:lvlText w:val="%7"/>
      <w:lvlJc w:val="left"/>
      <w:pPr>
        <w:ind w:left="468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ABD8F9F0">
      <w:start w:val="1"/>
      <w:numFmt w:val="lowerLetter"/>
      <w:lvlText w:val="%8"/>
      <w:lvlJc w:val="left"/>
      <w:pPr>
        <w:ind w:left="540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FBF48048">
      <w:start w:val="1"/>
      <w:numFmt w:val="lowerRoman"/>
      <w:lvlText w:val="%9"/>
      <w:lvlJc w:val="left"/>
      <w:pPr>
        <w:ind w:left="612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num w:numId="1" w16cid:durableId="1032877755">
    <w:abstractNumId w:val="0"/>
  </w:num>
  <w:num w:numId="2" w16cid:durableId="41890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58"/>
    <w:rsid w:val="00406B58"/>
    <w:rsid w:val="008F76F1"/>
    <w:rsid w:val="00C13325"/>
    <w:rsid w:val="00CE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88D4"/>
  <w15:docId w15:val="{4BB55093-882E-4F54-B5DE-E9AC8B7E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37" w:lineRule="auto"/>
      <w:ind w:left="13" w:right="15" w:hanging="6"/>
      <w:jc w:val="both"/>
    </w:pPr>
    <w:rPr>
      <w:rFonts w:ascii="Times New Roman" w:eastAsia="Times New Roman" w:hAnsi="Times New Roman" w:cs="Times New Roman"/>
      <w:color w:val="221F20"/>
      <w:sz w:val="24"/>
    </w:rPr>
  </w:style>
  <w:style w:type="paragraph" w:styleId="Heading1">
    <w:name w:val="heading 1"/>
    <w:next w:val="Normal"/>
    <w:link w:val="Heading1Char"/>
    <w:uiPriority w:val="9"/>
    <w:qFormat/>
    <w:pPr>
      <w:keepNext/>
      <w:keepLines/>
      <w:spacing w:after="0"/>
      <w:ind w:right="201"/>
      <w:jc w:val="center"/>
      <w:outlineLvl w:val="0"/>
    </w:pPr>
    <w:rPr>
      <w:rFonts w:ascii="Times New Roman" w:eastAsia="Times New Roman" w:hAnsi="Times New Roman" w:cs="Times New Roman"/>
      <w:b/>
      <w:color w:val="221F20"/>
      <w:sz w:val="32"/>
    </w:rPr>
  </w:style>
  <w:style w:type="paragraph" w:styleId="Heading2">
    <w:name w:val="heading 2"/>
    <w:next w:val="Normal"/>
    <w:link w:val="Heading2Char"/>
    <w:uiPriority w:val="9"/>
    <w:unhideWhenUsed/>
    <w:qFormat/>
    <w:pPr>
      <w:keepNext/>
      <w:keepLines/>
      <w:spacing w:after="10" w:line="249" w:lineRule="auto"/>
      <w:ind w:left="10" w:right="11" w:hanging="10"/>
      <w:jc w:val="both"/>
      <w:outlineLvl w:val="1"/>
    </w:pPr>
    <w:rPr>
      <w:rFonts w:ascii="Times New Roman" w:eastAsia="Times New Roman" w:hAnsi="Times New Roman" w:cs="Times New Roman"/>
      <w:b/>
      <w:color w:val="221F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21F20"/>
      <w:sz w:val="24"/>
    </w:rPr>
  </w:style>
  <w:style w:type="character" w:customStyle="1" w:styleId="Heading1Char">
    <w:name w:val="Heading 1 Char"/>
    <w:link w:val="Heading1"/>
    <w:rPr>
      <w:rFonts w:ascii="Times New Roman" w:eastAsia="Times New Roman" w:hAnsi="Times New Roman" w:cs="Times New Roman"/>
      <w:b/>
      <w:color w:val="221F2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who.int/reproductivehealth/topics/family_planning/unmet_n" TargetMode="External"/><Relationship Id="rId18" Type="http://schemas.openxmlformats.org/officeDocument/2006/relationships/hyperlink" Target="https://www.who.int/reproductivehealth/topics/family_planning/unmet_n" TargetMode="External"/><Relationship Id="rId26" Type="http://schemas.openxmlformats.org/officeDocument/2006/relationships/hyperlink" Target="https://www.who.int/reproductivehealth/topics/family_planning/unmet_n" TargetMode="External"/><Relationship Id="rId39" Type="http://schemas.openxmlformats.org/officeDocument/2006/relationships/header" Target="header2.xml"/><Relationship Id="rId21" Type="http://schemas.openxmlformats.org/officeDocument/2006/relationships/hyperlink" Target="https://www.who.int/reproductivehealth/topics/family_planning/unmet_n" TargetMode="External"/><Relationship Id="rId34" Type="http://schemas.openxmlformats.org/officeDocument/2006/relationships/hyperlink" Target="https://www.who.int/news-room/fact-sheets/detail/familyplanning%09contraception%20Accessed%2027%20Dec%202018" TargetMode="External"/><Relationship Id="rId42" Type="http://schemas.openxmlformats.org/officeDocument/2006/relationships/header" Target="header3.xml"/><Relationship Id="rId7" Type="http://schemas.openxmlformats.org/officeDocument/2006/relationships/hyperlink" Target="https://doi.org/10.1186/1742-4755-11-21" TargetMode="External"/><Relationship Id="rId2" Type="http://schemas.openxmlformats.org/officeDocument/2006/relationships/styles" Target="styles.xml"/><Relationship Id="rId16" Type="http://schemas.openxmlformats.org/officeDocument/2006/relationships/hyperlink" Target="https://www.who.int/reproductivehealth/topics/family_planning/unmet_n" TargetMode="External"/><Relationship Id="rId29" Type="http://schemas.openxmlformats.org/officeDocument/2006/relationships/hyperlink" Target="https://www.who.int/reproductivehealth/topics/family_planning/unmet_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reproductivehealth/topics/family_planning/unmet_n" TargetMode="External"/><Relationship Id="rId24" Type="http://schemas.openxmlformats.org/officeDocument/2006/relationships/hyperlink" Target="https://www.who.int/reproductivehealth/topics/family_planning/unmet_n" TargetMode="External"/><Relationship Id="rId32" Type="http://schemas.openxmlformats.org/officeDocument/2006/relationships/hyperlink" Target="https://www.who.int/news-room/fact-sheets/detail/familyplanning%09contraception%20Accessed%2027%20Dec%202018" TargetMode="External"/><Relationship Id="rId37" Type="http://schemas.openxmlformats.org/officeDocument/2006/relationships/hyperlink" Target="https://www.who.int/news-room/fact-sheets/detail/familyplanning%09contraception%20Accessed%2027%20Dec%20201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ho.int/reproductivehealth/topics/family_planning/unmet_n" TargetMode="External"/><Relationship Id="rId23" Type="http://schemas.openxmlformats.org/officeDocument/2006/relationships/hyperlink" Target="https://www.who.int/reproductivehealth/topics/family_planning/unmet_n" TargetMode="External"/><Relationship Id="rId28" Type="http://schemas.openxmlformats.org/officeDocument/2006/relationships/hyperlink" Target="https://www.who.int/reproductivehealth/topics/family_planning/unmet_n" TargetMode="External"/><Relationship Id="rId36" Type="http://schemas.openxmlformats.org/officeDocument/2006/relationships/hyperlink" Target="https://www.who.int/news-room/fact-sheets/detail/familyplanning%09contraception%20Accessed%2027%20Dec%202018" TargetMode="External"/><Relationship Id="rId10" Type="http://schemas.openxmlformats.org/officeDocument/2006/relationships/hyperlink" Target="https://www.who.int/reproductivehealth/topics/family_planning/unmet_n" TargetMode="External"/><Relationship Id="rId19" Type="http://schemas.openxmlformats.org/officeDocument/2006/relationships/hyperlink" Target="https://www.who.int/reproductivehealth/topics/family_planning/unmet_n" TargetMode="External"/><Relationship Id="rId31" Type="http://schemas.openxmlformats.org/officeDocument/2006/relationships/hyperlink" Target="https://www.who.int/news-room/fact-sheets/detail/familyplanning%09contraception%20Accessed%2027%20Dec%20201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onversation.com/family-size-why-some-nigerian-men-want-more" TargetMode="External"/><Relationship Id="rId14" Type="http://schemas.openxmlformats.org/officeDocument/2006/relationships/hyperlink" Target="https://www.who.int/reproductivehealth/topics/family_planning/unmet_n" TargetMode="External"/><Relationship Id="rId22" Type="http://schemas.openxmlformats.org/officeDocument/2006/relationships/hyperlink" Target="https://www.who.int/reproductivehealth/topics/family_planning/unmet_n" TargetMode="External"/><Relationship Id="rId27" Type="http://schemas.openxmlformats.org/officeDocument/2006/relationships/hyperlink" Target="https://www.who.int/reproductivehealth/topics/family_planning/unmet_n" TargetMode="External"/><Relationship Id="rId30" Type="http://schemas.openxmlformats.org/officeDocument/2006/relationships/hyperlink" Target="https://www.who.int/reproductivehealth/topics/family_planning/unmet_n" TargetMode="External"/><Relationship Id="rId35" Type="http://schemas.openxmlformats.org/officeDocument/2006/relationships/hyperlink" Target="https://www.who.int/news-room/fact-sheets/detail/familyplanning%09contraception%20Accessed%2027%20Dec%202018" TargetMode="External"/><Relationship Id="rId43" Type="http://schemas.openxmlformats.org/officeDocument/2006/relationships/footer" Target="footer3.xml"/><Relationship Id="rId8" Type="http://schemas.openxmlformats.org/officeDocument/2006/relationships/hyperlink" Target="https://doi.org/10.1186/s12889-020-09061-1" TargetMode="External"/><Relationship Id="rId3" Type="http://schemas.openxmlformats.org/officeDocument/2006/relationships/settings" Target="settings.xml"/><Relationship Id="rId12" Type="http://schemas.openxmlformats.org/officeDocument/2006/relationships/hyperlink" Target="https://www.who.int/reproductivehealth/topics/family_planning/unmet_n" TargetMode="External"/><Relationship Id="rId17" Type="http://schemas.openxmlformats.org/officeDocument/2006/relationships/hyperlink" Target="https://www.who.int/reproductivehealth/topics/family_planning/unmet_n" TargetMode="External"/><Relationship Id="rId25" Type="http://schemas.openxmlformats.org/officeDocument/2006/relationships/hyperlink" Target="https://www.who.int/reproductivehealth/topics/family_planning/unmet_n" TargetMode="External"/><Relationship Id="rId33" Type="http://schemas.openxmlformats.org/officeDocument/2006/relationships/hyperlink" Target="https://www.who.int/news-room/fact-sheets/detail/familyplanning%09contraception%20Accessed%2027%20Dec%202018" TargetMode="External"/><Relationship Id="rId38" Type="http://schemas.openxmlformats.org/officeDocument/2006/relationships/header" Target="header1.xml"/><Relationship Id="rId20" Type="http://schemas.openxmlformats.org/officeDocument/2006/relationships/hyperlink" Target="https://www.who.int/reproductivehealth/topics/family_planning/unmet_n"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8764</Words>
  <Characters>49959</Characters>
  <Application>Microsoft Office Word</Application>
  <DocSecurity>0</DocSecurity>
  <Lines>416</Lines>
  <Paragraphs>117</Paragraphs>
  <ScaleCrop>false</ScaleCrop>
  <Company/>
  <LinksUpToDate>false</LinksUpToDate>
  <CharactersWithSpaces>58606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Akpan et al.cdr</dc:title>
  <dc:subject/>
  <dc:creator>user</dc:creator>
  <cp:keywords/>
  <cp:lastModifiedBy>Dr dhamey</cp:lastModifiedBy>
  <cp:revision>2</cp:revision>
  <dcterms:created xsi:type="dcterms:W3CDTF">2024-05-25T05:43:00Z</dcterms:created>
  <dcterms:modified xsi:type="dcterms:W3CDTF">2024-05-25T05:43:00Z</dcterms:modified>
</cp:coreProperties>
</file>